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E" w:rsidRPr="008C7E0E" w:rsidRDefault="0089225E" w:rsidP="008519A8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519A8" w:rsidRPr="008C7E0E" w:rsidRDefault="008519A8" w:rsidP="008519A8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C7E0E">
        <w:rPr>
          <w:rFonts w:ascii="Times New Roman" w:hAnsi="Times New Roman" w:cs="Times New Roman"/>
          <w:b/>
          <w:sz w:val="26"/>
          <w:szCs w:val="26"/>
          <w:lang w:val="ro-RO"/>
        </w:rPr>
        <w:t>NOTA INFORMATIVĂ</w:t>
      </w:r>
    </w:p>
    <w:p w:rsidR="008519A8" w:rsidRPr="008C7E0E" w:rsidRDefault="008519A8" w:rsidP="008519A8">
      <w:pPr>
        <w:widowControl w:val="0"/>
        <w:jc w:val="center"/>
        <w:rPr>
          <w:b/>
          <w:bCs/>
          <w:noProof/>
          <w:sz w:val="26"/>
          <w:szCs w:val="26"/>
        </w:rPr>
      </w:pPr>
      <w:r w:rsidRPr="008C7E0E">
        <w:rPr>
          <w:b/>
          <w:sz w:val="26"/>
          <w:szCs w:val="26"/>
        </w:rPr>
        <w:t xml:space="preserve">la proiectul </w:t>
      </w:r>
      <w:r w:rsidR="00881928" w:rsidRPr="008C7E0E">
        <w:rPr>
          <w:b/>
          <w:sz w:val="26"/>
          <w:szCs w:val="26"/>
        </w:rPr>
        <w:t>Hotărârii Guvernului cu privire la alocarea mijloacelor  financiare</w:t>
      </w:r>
    </w:p>
    <w:p w:rsidR="008519A8" w:rsidRPr="00693C92" w:rsidRDefault="008519A8" w:rsidP="008519A8">
      <w:pPr>
        <w:pStyle w:val="a3"/>
        <w:widowControl w:val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Style w:val="a4"/>
        <w:tblW w:w="10660" w:type="dxa"/>
        <w:tblInd w:w="-459" w:type="dxa"/>
        <w:tblLook w:val="04A0" w:firstRow="1" w:lastRow="0" w:firstColumn="1" w:lastColumn="0" w:noHBand="0" w:noVBand="1"/>
      </w:tblPr>
      <w:tblGrid>
        <w:gridCol w:w="10660"/>
      </w:tblGrid>
      <w:tr w:rsidR="008519A8" w:rsidRPr="00693C92" w:rsidTr="00875F4D">
        <w:tc>
          <w:tcPr>
            <w:tcW w:w="10660" w:type="dxa"/>
            <w:shd w:val="clear" w:color="auto" w:fill="D9D9D9" w:themeFill="background1" w:themeFillShade="D9"/>
          </w:tcPr>
          <w:p w:rsidR="008519A8" w:rsidRPr="00693C92" w:rsidRDefault="008F2B3B" w:rsidP="008F2B3B">
            <w:pPr>
              <w:pStyle w:val="a7"/>
              <w:numPr>
                <w:ilvl w:val="0"/>
                <w:numId w:val="5"/>
              </w:numPr>
              <w:rPr>
                <w:b/>
                <w:sz w:val="26"/>
                <w:szCs w:val="26"/>
              </w:rPr>
            </w:pPr>
            <w:r w:rsidRPr="00693C92">
              <w:rPr>
                <w:b/>
                <w:sz w:val="26"/>
                <w:szCs w:val="26"/>
              </w:rPr>
              <w:t>Cauzele care au condiționat elaborarea proiectului și finalitățile urmărite</w:t>
            </w:r>
          </w:p>
        </w:tc>
      </w:tr>
      <w:tr w:rsidR="008519A8" w:rsidRPr="00693C92" w:rsidTr="00875F4D">
        <w:tc>
          <w:tcPr>
            <w:tcW w:w="10660" w:type="dxa"/>
          </w:tcPr>
          <w:p w:rsidR="009E7BCE" w:rsidRPr="00693C92" w:rsidRDefault="00693C92" w:rsidP="00376C84">
            <w:pPr>
              <w:autoSpaceDE w:val="0"/>
              <w:autoSpaceDN w:val="0"/>
              <w:adjustRightInd w:val="0"/>
              <w:ind w:firstLine="6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o-RO"/>
              </w:rPr>
              <w:t xml:space="preserve"> </w:t>
            </w:r>
            <w:r w:rsidRPr="00693C92">
              <w:rPr>
                <w:sz w:val="26"/>
                <w:szCs w:val="26"/>
                <w:lang w:eastAsia="ro-RO"/>
              </w:rPr>
              <w:t>Pe rolul</w:t>
            </w:r>
            <w:r w:rsidR="00AE1BD5" w:rsidRPr="00693C92">
              <w:rPr>
                <w:sz w:val="26"/>
                <w:szCs w:val="26"/>
                <w:lang w:eastAsia="ro-RO"/>
              </w:rPr>
              <w:t xml:space="preserve"> Curții de Apel </w:t>
            </w:r>
            <w:r w:rsidR="00875F4D" w:rsidRPr="00693C92">
              <w:rPr>
                <w:sz w:val="26"/>
                <w:szCs w:val="26"/>
                <w:lang w:eastAsia="ro-RO"/>
              </w:rPr>
              <w:t xml:space="preserve">din </w:t>
            </w:r>
            <w:r w:rsidR="00AE1BD5" w:rsidRPr="00693C92">
              <w:rPr>
                <w:sz w:val="26"/>
                <w:szCs w:val="26"/>
                <w:lang w:eastAsia="ro-RO"/>
              </w:rPr>
              <w:t xml:space="preserve">Paris (Franța) se află spre </w:t>
            </w:r>
            <w:r w:rsidR="009820A3">
              <w:rPr>
                <w:sz w:val="26"/>
                <w:szCs w:val="26"/>
                <w:lang w:eastAsia="ro-RO"/>
              </w:rPr>
              <w:t>re</w:t>
            </w:r>
            <w:r w:rsidR="00AE1BD5" w:rsidRPr="00693C92">
              <w:rPr>
                <w:sz w:val="26"/>
                <w:szCs w:val="26"/>
                <w:lang w:eastAsia="ro-RO"/>
              </w:rPr>
              <w:t>examinare cauza OOO „</w:t>
            </w:r>
            <w:proofErr w:type="spellStart"/>
            <w:r w:rsidR="00AE1BD5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AE1BD5" w:rsidRPr="00693C92">
              <w:rPr>
                <w:sz w:val="26"/>
                <w:szCs w:val="26"/>
                <w:lang w:eastAsia="ro-RO"/>
              </w:rPr>
              <w:t>”</w:t>
            </w:r>
            <w:r w:rsidR="00AE1BD5" w:rsidRPr="00693C92">
              <w:rPr>
                <w:sz w:val="26"/>
                <w:szCs w:val="26"/>
              </w:rPr>
              <w:t xml:space="preserve"> (succesoarea în drepturi a OOO „</w:t>
            </w:r>
            <w:proofErr w:type="spellStart"/>
            <w:r w:rsidR="00AE1BD5" w:rsidRPr="00693C92">
              <w:rPr>
                <w:sz w:val="26"/>
                <w:szCs w:val="26"/>
              </w:rPr>
              <w:t>Энергоальянс</w:t>
            </w:r>
            <w:proofErr w:type="spellEnd"/>
            <w:r w:rsidR="00AE1BD5" w:rsidRPr="00693C92">
              <w:rPr>
                <w:sz w:val="26"/>
                <w:szCs w:val="26"/>
              </w:rPr>
              <w:t xml:space="preserve">”, Ucraina) împotriva </w:t>
            </w:r>
            <w:r w:rsidR="009E7BCE" w:rsidRPr="00693C92">
              <w:rPr>
                <w:sz w:val="26"/>
                <w:szCs w:val="26"/>
              </w:rPr>
              <w:t xml:space="preserve">Republicii Moldova privind </w:t>
            </w:r>
            <w:r w:rsidR="00875F4D" w:rsidRPr="00693C92">
              <w:rPr>
                <w:sz w:val="26"/>
                <w:szCs w:val="26"/>
              </w:rPr>
              <w:t>încasarea din</w:t>
            </w:r>
            <w:r w:rsidR="009E7BCE" w:rsidRPr="00693C92">
              <w:rPr>
                <w:sz w:val="26"/>
                <w:szCs w:val="26"/>
              </w:rPr>
              <w:t xml:space="preserve"> contul Republicii Moldova în beneficiul companiei</w:t>
            </w:r>
            <w:r w:rsidR="009E7BCE" w:rsidRPr="00693C92">
              <w:rPr>
                <w:sz w:val="26"/>
                <w:szCs w:val="26"/>
                <w:lang w:eastAsia="ro-RO"/>
              </w:rPr>
              <w:t xml:space="preserve"> OOO „</w:t>
            </w:r>
            <w:proofErr w:type="spellStart"/>
            <w:r w:rsidR="009E7BCE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9E7BCE" w:rsidRPr="00693C92">
              <w:rPr>
                <w:sz w:val="26"/>
                <w:szCs w:val="26"/>
                <w:lang w:eastAsia="ro-RO"/>
              </w:rPr>
              <w:t>”</w:t>
            </w:r>
            <w:r w:rsidR="009E7BCE" w:rsidRPr="00693C92">
              <w:rPr>
                <w:sz w:val="26"/>
                <w:szCs w:val="26"/>
              </w:rPr>
              <w:t xml:space="preserve"> a sumei de  </w:t>
            </w:r>
            <w:r w:rsidR="009820A3">
              <w:rPr>
                <w:sz w:val="26"/>
                <w:szCs w:val="26"/>
              </w:rPr>
              <w:t>195 547 212 lei care</w:t>
            </w:r>
            <w:r w:rsidR="009E7BCE" w:rsidRPr="00693C92">
              <w:rPr>
                <w:sz w:val="26"/>
                <w:szCs w:val="26"/>
              </w:rPr>
              <w:t xml:space="preserve"> reprezintă datoria propriu-zisă, restul fiind dobânzi de întârziere și cheltuieli de judecată pentru datoria acumulată pentru achiziționarea </w:t>
            </w:r>
            <w:r w:rsidR="00875F4D" w:rsidRPr="00693C92">
              <w:rPr>
                <w:sz w:val="26"/>
                <w:szCs w:val="26"/>
              </w:rPr>
              <w:t>energiei</w:t>
            </w:r>
            <w:r w:rsidR="009E7BCE" w:rsidRPr="00693C92">
              <w:rPr>
                <w:sz w:val="26"/>
                <w:szCs w:val="26"/>
              </w:rPr>
              <w:t xml:space="preserve"> electrice</w:t>
            </w:r>
            <w:r w:rsidR="009820A3">
              <w:rPr>
                <w:sz w:val="26"/>
                <w:szCs w:val="26"/>
              </w:rPr>
              <w:t xml:space="preserve"> în sumă de 397 333 183 lei, și 540 000 dolari  SUA.</w:t>
            </w:r>
          </w:p>
          <w:p w:rsidR="00875F4D" w:rsidRPr="00693C92" w:rsidRDefault="00875F4D" w:rsidP="00875F4D">
            <w:pPr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La 28 martie 2018 </w:t>
            </w:r>
            <w:r w:rsidR="009E7BCE" w:rsidRPr="00693C92">
              <w:rPr>
                <w:sz w:val="26"/>
                <w:szCs w:val="26"/>
              </w:rPr>
              <w:t>Curtea de Casație</w:t>
            </w:r>
            <w:r w:rsidRPr="00693C92">
              <w:rPr>
                <w:sz w:val="26"/>
                <w:szCs w:val="26"/>
              </w:rPr>
              <w:t xml:space="preserve"> din</w:t>
            </w:r>
            <w:r w:rsidR="009E7BCE" w:rsidRPr="00693C92">
              <w:rPr>
                <w:sz w:val="26"/>
                <w:szCs w:val="26"/>
              </w:rPr>
              <w:t xml:space="preserve"> Paris </w:t>
            </w:r>
            <w:r w:rsidRPr="00693C92">
              <w:rPr>
                <w:sz w:val="26"/>
                <w:szCs w:val="26"/>
              </w:rPr>
              <w:t>(</w:t>
            </w:r>
            <w:r w:rsidR="009E7BCE" w:rsidRPr="00693C92">
              <w:rPr>
                <w:sz w:val="26"/>
                <w:szCs w:val="26"/>
              </w:rPr>
              <w:t>Franța</w:t>
            </w:r>
            <w:r w:rsidRPr="00693C92">
              <w:rPr>
                <w:sz w:val="26"/>
                <w:szCs w:val="26"/>
              </w:rPr>
              <w:t>)</w:t>
            </w:r>
            <w:r w:rsidR="009E7BCE" w:rsidRPr="00693C92">
              <w:rPr>
                <w:sz w:val="26"/>
                <w:szCs w:val="26"/>
              </w:rPr>
              <w:t xml:space="preserve"> urmare a examinării recursului declarat de către compania </w:t>
            </w:r>
            <w:r w:rsidR="009E7BCE" w:rsidRPr="00693C92">
              <w:rPr>
                <w:sz w:val="26"/>
                <w:szCs w:val="26"/>
                <w:lang w:eastAsia="ro-RO"/>
              </w:rPr>
              <w:t>OOO „</w:t>
            </w:r>
            <w:proofErr w:type="spellStart"/>
            <w:r w:rsidR="009E7BCE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9E7BCE" w:rsidRPr="00693C92">
              <w:rPr>
                <w:sz w:val="26"/>
                <w:szCs w:val="26"/>
                <w:lang w:eastAsia="ro-RO"/>
              </w:rPr>
              <w:t>”</w:t>
            </w:r>
            <w:r w:rsidR="009E7BCE" w:rsidRPr="00693C92">
              <w:rPr>
                <w:sz w:val="26"/>
                <w:szCs w:val="26"/>
              </w:rPr>
              <w:t xml:space="preserve">  împotriva deciziei Curții de Apel din Paris (Franța) din 12 aprilie 2016, a constatat</w:t>
            </w:r>
            <w:r w:rsidRPr="00693C92">
              <w:rPr>
                <w:sz w:val="26"/>
                <w:szCs w:val="26"/>
              </w:rPr>
              <w:t xml:space="preserve"> </w:t>
            </w:r>
            <w:r w:rsidR="009E7BCE" w:rsidRPr="00693C92">
              <w:rPr>
                <w:sz w:val="26"/>
                <w:szCs w:val="26"/>
              </w:rPr>
              <w:t xml:space="preserve">că Arbitrajul Comercial ad-hoc nu era în drept să medieze disputa dintre Republica Moldova și </w:t>
            </w:r>
            <w:r w:rsidR="00D06D0C" w:rsidRPr="00693C92">
              <w:rPr>
                <w:sz w:val="26"/>
                <w:szCs w:val="26"/>
              </w:rPr>
              <w:t>OOO „</w:t>
            </w:r>
            <w:proofErr w:type="spellStart"/>
            <w:r w:rsidR="00D06D0C" w:rsidRPr="00693C92">
              <w:rPr>
                <w:sz w:val="26"/>
                <w:szCs w:val="26"/>
              </w:rPr>
              <w:t>Энергоальянс</w:t>
            </w:r>
            <w:proofErr w:type="spellEnd"/>
            <w:r w:rsidR="00D06D0C" w:rsidRPr="00693C92">
              <w:rPr>
                <w:sz w:val="26"/>
                <w:szCs w:val="26"/>
              </w:rPr>
              <w:t xml:space="preserve">”, </w:t>
            </w:r>
            <w:r w:rsidRPr="00693C92">
              <w:rPr>
                <w:sz w:val="26"/>
                <w:szCs w:val="26"/>
              </w:rPr>
              <w:t>astfel, casând  Decizia supra indicată, cu remiterea cauzei spre rejudecare în alt complet de judecată.</w:t>
            </w:r>
          </w:p>
          <w:p w:rsidR="00F077A3" w:rsidRDefault="00D06D0C" w:rsidP="00F077A3">
            <w:pPr>
              <w:autoSpaceDE w:val="0"/>
              <w:autoSpaceDN w:val="0"/>
              <w:adjustRightInd w:val="0"/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</w:rPr>
              <w:t xml:space="preserve">În context, </w:t>
            </w:r>
            <w:r w:rsidR="00F077A3">
              <w:rPr>
                <w:sz w:val="26"/>
                <w:szCs w:val="26"/>
              </w:rPr>
              <w:t>apărarea calitativă a intereselor statului este primordială în condițiile în care în eventualitatea pierderii  procesului, statul va suporta o sarcină financiară considerabilă.</w:t>
            </w:r>
          </w:p>
          <w:p w:rsidR="00881928" w:rsidRPr="00693C92" w:rsidRDefault="00881928" w:rsidP="00376C84">
            <w:pPr>
              <w:autoSpaceDE w:val="0"/>
              <w:autoSpaceDN w:val="0"/>
              <w:adjustRightInd w:val="0"/>
              <w:ind w:firstLine="63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Proiectul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Hotărîrii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Guvernului cu privire  la  alocarea  unor  mijloace  financiare este  elaborat  de</w:t>
            </w:r>
            <w:r w:rsidR="00376C84" w:rsidRPr="00693C92">
              <w:rPr>
                <w:sz w:val="26"/>
                <w:szCs w:val="26"/>
                <w:lang w:eastAsia="ro-RO"/>
              </w:rPr>
              <w:t xml:space="preserve"> </w:t>
            </w:r>
            <w:r w:rsidRPr="00693C92">
              <w:rPr>
                <w:sz w:val="26"/>
                <w:szCs w:val="26"/>
                <w:lang w:eastAsia="ro-RO"/>
              </w:rPr>
              <w:t xml:space="preserve">către Ministerul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Justiţiei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în scopul executării obligațiilor de ordin financiar asumate pr</w:t>
            </w:r>
            <w:r w:rsidR="00E80514" w:rsidRPr="00693C92">
              <w:rPr>
                <w:sz w:val="26"/>
                <w:szCs w:val="26"/>
                <w:lang w:eastAsia="ro-RO"/>
              </w:rPr>
              <w:t xml:space="preserve">in semnarea de către Ministrul </w:t>
            </w:r>
            <w:proofErr w:type="spellStart"/>
            <w:r w:rsidR="00E80514" w:rsidRPr="00693C92">
              <w:rPr>
                <w:sz w:val="26"/>
                <w:szCs w:val="26"/>
                <w:lang w:eastAsia="ro-RO"/>
              </w:rPr>
              <w:t>J</w:t>
            </w:r>
            <w:r w:rsidRPr="00693C92">
              <w:rPr>
                <w:sz w:val="26"/>
                <w:szCs w:val="26"/>
                <w:lang w:eastAsia="ro-RO"/>
              </w:rPr>
              <w:t>ustiţiei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, în numele Guvernului, la data de 20 ianuarie 2017 a contractului de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asistenţă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juridică cu compania de avocatură DLA Piper Franc</w:t>
            </w:r>
            <w:r w:rsidR="00376C84" w:rsidRPr="00693C92">
              <w:rPr>
                <w:sz w:val="26"/>
                <w:szCs w:val="26"/>
                <w:lang w:eastAsia="ro-RO"/>
              </w:rPr>
              <w:t>e LLP (Paris, Franța) și BAA „A</w:t>
            </w:r>
            <w:r w:rsidRPr="00693C92">
              <w:rPr>
                <w:sz w:val="26"/>
                <w:szCs w:val="26"/>
                <w:lang w:eastAsia="ro-RO"/>
              </w:rPr>
              <w:t xml:space="preserve">CI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Parteners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>” (Republica Moldova).</w:t>
            </w:r>
          </w:p>
          <w:p w:rsidR="0023206B" w:rsidRPr="00693C92" w:rsidRDefault="00881928" w:rsidP="006D5B9E">
            <w:pPr>
              <w:ind w:firstLine="709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Prin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Hotărîrea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Guvernului nr. 289 din 5 mai 2017 </w:t>
            </w:r>
            <w:r w:rsidR="00615BB4" w:rsidRPr="00693C92">
              <w:rPr>
                <w:sz w:val="26"/>
                <w:szCs w:val="26"/>
                <w:lang w:eastAsia="ro-RO"/>
              </w:rPr>
              <w:t>s-</w:t>
            </w:r>
            <w:r w:rsidRPr="00693C92">
              <w:rPr>
                <w:sz w:val="26"/>
                <w:szCs w:val="26"/>
                <w:lang w:eastAsia="ro-RO"/>
              </w:rPr>
              <w:t xml:space="preserve">a dispus alocarea </w:t>
            </w:r>
            <w:r w:rsidRPr="00693C92">
              <w:rPr>
                <w:sz w:val="26"/>
                <w:szCs w:val="26"/>
              </w:rPr>
              <w:t xml:space="preserve">sumei echivalente în lei a 50 000 dolari SUA pentru plata onorariilor Companiei de avocatură DLA Piper France LLP (Paris, </w:t>
            </w:r>
            <w:proofErr w:type="spellStart"/>
            <w:r w:rsidRPr="00693C92">
              <w:rPr>
                <w:sz w:val="26"/>
                <w:szCs w:val="26"/>
              </w:rPr>
              <w:t>Franţa</w:t>
            </w:r>
            <w:proofErr w:type="spellEnd"/>
            <w:r w:rsidRPr="00693C92">
              <w:rPr>
                <w:sz w:val="26"/>
                <w:szCs w:val="26"/>
              </w:rPr>
              <w:t xml:space="preserve">) </w:t>
            </w:r>
            <w:proofErr w:type="spellStart"/>
            <w:r w:rsidRPr="00693C92">
              <w:rPr>
                <w:sz w:val="26"/>
                <w:szCs w:val="26"/>
              </w:rPr>
              <w:t>şi</w:t>
            </w:r>
            <w:proofErr w:type="spellEnd"/>
            <w:r w:rsidRPr="00693C92">
              <w:rPr>
                <w:sz w:val="26"/>
                <w:szCs w:val="26"/>
              </w:rPr>
              <w:t xml:space="preserve"> BAA „ACI </w:t>
            </w:r>
            <w:proofErr w:type="spellStart"/>
            <w:r w:rsidRPr="00693C92">
              <w:rPr>
                <w:sz w:val="26"/>
                <w:szCs w:val="26"/>
              </w:rPr>
              <w:t>Partners</w:t>
            </w:r>
            <w:proofErr w:type="spellEnd"/>
            <w:r w:rsidRPr="00693C92">
              <w:rPr>
                <w:sz w:val="26"/>
                <w:szCs w:val="26"/>
              </w:rPr>
              <w:t xml:space="preserve">” (Republica Moldova) pentru reprezentarea intereselor Republicii Moldova în </w:t>
            </w:r>
            <w:proofErr w:type="spellStart"/>
            <w:r w:rsidRPr="00693C92">
              <w:rPr>
                <w:sz w:val="26"/>
                <w:szCs w:val="26"/>
              </w:rPr>
              <w:t>faţa</w:t>
            </w:r>
            <w:proofErr w:type="spellEnd"/>
            <w:r w:rsidRPr="00693C92">
              <w:rPr>
                <w:sz w:val="26"/>
                <w:szCs w:val="26"/>
              </w:rPr>
              <w:t xml:space="preserve"> </w:t>
            </w:r>
            <w:proofErr w:type="spellStart"/>
            <w:r w:rsidRPr="00693C92">
              <w:rPr>
                <w:sz w:val="26"/>
                <w:szCs w:val="26"/>
              </w:rPr>
              <w:t>Curţii</w:t>
            </w:r>
            <w:proofErr w:type="spellEnd"/>
            <w:r w:rsidRPr="00693C92">
              <w:rPr>
                <w:sz w:val="26"/>
                <w:szCs w:val="26"/>
              </w:rPr>
              <w:t xml:space="preserve"> de </w:t>
            </w:r>
            <w:proofErr w:type="spellStart"/>
            <w:r w:rsidRPr="00693C92">
              <w:rPr>
                <w:sz w:val="26"/>
                <w:szCs w:val="26"/>
              </w:rPr>
              <w:t>Casaţie</w:t>
            </w:r>
            <w:proofErr w:type="spellEnd"/>
            <w:r w:rsidRPr="00693C92">
              <w:rPr>
                <w:sz w:val="26"/>
                <w:szCs w:val="26"/>
              </w:rPr>
              <w:t xml:space="preserve"> din Paris (</w:t>
            </w:r>
            <w:proofErr w:type="spellStart"/>
            <w:r w:rsidRPr="00693C92">
              <w:rPr>
                <w:sz w:val="26"/>
                <w:szCs w:val="26"/>
              </w:rPr>
              <w:t>Franţa</w:t>
            </w:r>
            <w:proofErr w:type="spellEnd"/>
            <w:r w:rsidRPr="00693C92">
              <w:rPr>
                <w:sz w:val="26"/>
                <w:szCs w:val="26"/>
              </w:rPr>
              <w:t>) la examinarea recursului înaintat de compania</w:t>
            </w:r>
            <w:r w:rsidR="00511254" w:rsidRPr="00693C92">
              <w:rPr>
                <w:sz w:val="26"/>
                <w:szCs w:val="26"/>
                <w:lang w:eastAsia="ro-RO"/>
              </w:rPr>
              <w:t xml:space="preserve"> OOO „</w:t>
            </w:r>
            <w:proofErr w:type="spellStart"/>
            <w:r w:rsidR="00511254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511254" w:rsidRPr="00693C92">
              <w:rPr>
                <w:sz w:val="26"/>
                <w:szCs w:val="26"/>
                <w:lang w:eastAsia="ro-RO"/>
              </w:rPr>
              <w:t>”</w:t>
            </w:r>
            <w:r w:rsidRPr="00693C92">
              <w:rPr>
                <w:sz w:val="26"/>
                <w:szCs w:val="26"/>
              </w:rPr>
              <w:t xml:space="preserve"> (succesoarea în drepturi a OOO „</w:t>
            </w:r>
            <w:proofErr w:type="spellStart"/>
            <w:r w:rsidRPr="00693C92">
              <w:rPr>
                <w:sz w:val="26"/>
                <w:szCs w:val="26"/>
              </w:rPr>
              <w:t>Энергоальянс</w:t>
            </w:r>
            <w:proofErr w:type="spellEnd"/>
            <w:r w:rsidRPr="00693C92">
              <w:rPr>
                <w:sz w:val="26"/>
                <w:szCs w:val="26"/>
              </w:rPr>
              <w:t xml:space="preserve">”, Ucraina) împotriva deciziei </w:t>
            </w:r>
            <w:proofErr w:type="spellStart"/>
            <w:r w:rsidRPr="00693C92">
              <w:rPr>
                <w:sz w:val="26"/>
                <w:szCs w:val="26"/>
              </w:rPr>
              <w:t>Curţii</w:t>
            </w:r>
            <w:proofErr w:type="spellEnd"/>
            <w:r w:rsidRPr="00693C92">
              <w:rPr>
                <w:sz w:val="26"/>
                <w:szCs w:val="26"/>
              </w:rPr>
              <w:t xml:space="preserve"> de Apel Paris din 12 aprilie 2016</w:t>
            </w:r>
            <w:r w:rsidR="0023206B" w:rsidRPr="00693C92">
              <w:rPr>
                <w:sz w:val="26"/>
                <w:szCs w:val="26"/>
                <w:lang w:eastAsia="ro-RO"/>
              </w:rPr>
              <w:t>.</w:t>
            </w:r>
          </w:p>
          <w:p w:rsidR="007B45BF" w:rsidRPr="00693C92" w:rsidRDefault="00881928" w:rsidP="00376C84">
            <w:pPr>
              <w:autoSpaceDE w:val="0"/>
              <w:autoSpaceDN w:val="0"/>
              <w:adjustRightInd w:val="0"/>
              <w:ind w:firstLine="63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  <w:lang w:eastAsia="ro-RO"/>
              </w:rPr>
              <w:t>D</w:t>
            </w:r>
            <w:r w:rsidR="0023206B" w:rsidRPr="00693C92">
              <w:rPr>
                <w:sz w:val="26"/>
                <w:szCs w:val="26"/>
                <w:lang w:eastAsia="ro-RO"/>
              </w:rPr>
              <w:t>in considerentul că în anul 2017</w:t>
            </w:r>
            <w:r w:rsidRPr="00693C92">
              <w:rPr>
                <w:sz w:val="26"/>
                <w:szCs w:val="26"/>
                <w:lang w:eastAsia="ro-RO"/>
              </w:rPr>
              <w:t xml:space="preserve"> a</w:t>
            </w:r>
            <w:r w:rsidR="0023206B" w:rsidRPr="00693C92">
              <w:rPr>
                <w:sz w:val="26"/>
                <w:szCs w:val="26"/>
                <w:lang w:eastAsia="ro-RO"/>
              </w:rPr>
              <w:t>u</w:t>
            </w:r>
            <w:r w:rsidRPr="00693C92">
              <w:rPr>
                <w:sz w:val="26"/>
                <w:szCs w:val="26"/>
                <w:lang w:eastAsia="ro-RO"/>
              </w:rPr>
              <w:t xml:space="preserve"> fost</w:t>
            </w:r>
            <w:r w:rsidR="0023206B" w:rsidRPr="00693C92">
              <w:rPr>
                <w:sz w:val="26"/>
                <w:szCs w:val="26"/>
                <w:lang w:eastAsia="ro-RO"/>
              </w:rPr>
              <w:t xml:space="preserve"> achitate conform contractului </w:t>
            </w:r>
            <w:r w:rsidR="007B45BF" w:rsidRPr="00693C92">
              <w:rPr>
                <w:sz w:val="26"/>
                <w:szCs w:val="26"/>
                <w:lang w:eastAsia="ro-RO"/>
              </w:rPr>
              <w:t xml:space="preserve">doar </w:t>
            </w:r>
            <w:r w:rsidR="0023206B" w:rsidRPr="00693C92">
              <w:rPr>
                <w:sz w:val="26"/>
                <w:szCs w:val="26"/>
                <w:lang w:eastAsia="ro-RO"/>
              </w:rPr>
              <w:t>86</w:t>
            </w:r>
            <w:r w:rsidRPr="00693C92">
              <w:rPr>
                <w:sz w:val="26"/>
                <w:szCs w:val="26"/>
                <w:lang w:eastAsia="ro-RO"/>
              </w:rPr>
              <w:t xml:space="preserve">% din plafonul de onorarii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cheltuieli suplimentare, iar respectiva companie a solicitat plata sumei rămase, adică </w:t>
            </w:r>
            <w:r w:rsidR="0023206B" w:rsidRPr="00693C92">
              <w:rPr>
                <w:sz w:val="26"/>
                <w:szCs w:val="26"/>
                <w:lang w:eastAsia="ro-RO"/>
              </w:rPr>
              <w:t>6713 dolari SUA</w:t>
            </w:r>
            <w:r w:rsidR="007B45BF" w:rsidRPr="00693C92">
              <w:rPr>
                <w:sz w:val="26"/>
                <w:szCs w:val="26"/>
                <w:lang w:eastAsia="ro-RO"/>
              </w:rPr>
              <w:t>, expediind nota</w:t>
            </w:r>
            <w:r w:rsidR="0023206B" w:rsidRPr="00693C92">
              <w:rPr>
                <w:sz w:val="26"/>
                <w:szCs w:val="26"/>
                <w:lang w:eastAsia="ro-RO"/>
              </w:rPr>
              <w:t xml:space="preserve"> de plată</w:t>
            </w:r>
            <w:r w:rsidR="007B45BF" w:rsidRPr="00693C92">
              <w:rPr>
                <w:sz w:val="26"/>
                <w:szCs w:val="26"/>
                <w:lang w:eastAsia="ro-RO"/>
              </w:rPr>
              <w:t xml:space="preserve"> în anul fiscal 2018, </w:t>
            </w:r>
            <w:r w:rsidRPr="00693C92">
              <w:rPr>
                <w:sz w:val="26"/>
                <w:szCs w:val="26"/>
                <w:lang w:eastAsia="ro-RO"/>
              </w:rPr>
              <w:t xml:space="preserve">mijloacele financiare destinate scopului </w:t>
            </w:r>
            <w:r w:rsidR="007B45BF" w:rsidRPr="00693C92">
              <w:rPr>
                <w:sz w:val="26"/>
                <w:szCs w:val="26"/>
                <w:lang w:eastAsia="ro-RO"/>
              </w:rPr>
              <w:t xml:space="preserve">indicat nu au fost valorificate, astfel, formându-se restanța indicată supra. </w:t>
            </w:r>
          </w:p>
          <w:p w:rsidR="00881928" w:rsidRPr="00693C92" w:rsidRDefault="00881928" w:rsidP="00376C84">
            <w:pPr>
              <w:autoSpaceDE w:val="0"/>
              <w:autoSpaceDN w:val="0"/>
              <w:adjustRightInd w:val="0"/>
              <w:ind w:firstLine="63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Potrivit art.70 alin. (2) din Legea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finanţelor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publice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responsabilităţii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bugetar-fiscale nr. 181 din 25 iulie 2014 „la data încheierii anului bugetar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alocaţiile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bugetare nevalorificate, precum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soldurile de mijloace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băneşti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din conturile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trezoreriale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ale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autorităţilor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>/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instituţiilor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bugetare se închid". De asemenea, conform art. 36 alin.(1) lit. a) din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aceiaşi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lege, fondul de rezervă se creează pentru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finanţarea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cheltuielilor urgente care survin pe parcursul anului bugetar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care nu au fost posibil de anticipat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>, respectiv, de prevăzut în bugetul aprobat.</w:t>
            </w:r>
          </w:p>
          <w:p w:rsidR="007B45BF" w:rsidRPr="00693C92" w:rsidRDefault="007B45BF" w:rsidP="00376C84">
            <w:pPr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</w:rPr>
              <w:t xml:space="preserve">Concomitent, la 28 martie 2018 Curtea de Casație din or. Paris </w:t>
            </w:r>
            <w:r w:rsidR="00536C40" w:rsidRPr="00693C92">
              <w:rPr>
                <w:sz w:val="26"/>
                <w:szCs w:val="26"/>
              </w:rPr>
              <w:t xml:space="preserve">(Franța) </w:t>
            </w:r>
            <w:r w:rsidRPr="00693C92">
              <w:rPr>
                <w:sz w:val="26"/>
                <w:szCs w:val="26"/>
              </w:rPr>
              <w:t xml:space="preserve">a emis Decizia asupra recursului înaintat de </w:t>
            </w:r>
            <w:r w:rsidR="00536C40" w:rsidRPr="00693C92">
              <w:rPr>
                <w:sz w:val="26"/>
                <w:szCs w:val="26"/>
              </w:rPr>
              <w:t>compania</w:t>
            </w:r>
            <w:r w:rsidR="00511254" w:rsidRPr="00693C92">
              <w:rPr>
                <w:sz w:val="26"/>
                <w:szCs w:val="26"/>
                <w:lang w:eastAsia="ro-RO"/>
              </w:rPr>
              <w:t xml:space="preserve"> OOO „</w:t>
            </w:r>
            <w:proofErr w:type="spellStart"/>
            <w:r w:rsidR="00511254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511254" w:rsidRPr="00693C92">
              <w:rPr>
                <w:sz w:val="26"/>
                <w:szCs w:val="26"/>
                <w:lang w:eastAsia="ro-RO"/>
              </w:rPr>
              <w:t xml:space="preserve">” </w:t>
            </w:r>
            <w:r w:rsidR="00536C40" w:rsidRPr="00693C92">
              <w:rPr>
                <w:sz w:val="26"/>
                <w:szCs w:val="26"/>
              </w:rPr>
              <w:t xml:space="preserve"> </w:t>
            </w:r>
            <w:r w:rsidRPr="00693C92">
              <w:rPr>
                <w:sz w:val="26"/>
                <w:szCs w:val="26"/>
              </w:rPr>
              <w:t xml:space="preserve">împotriva </w:t>
            </w:r>
            <w:proofErr w:type="spellStart"/>
            <w:r w:rsidRPr="00693C92">
              <w:rPr>
                <w:sz w:val="26"/>
                <w:szCs w:val="26"/>
              </w:rPr>
              <w:t>Hotărîrii</w:t>
            </w:r>
            <w:proofErr w:type="spellEnd"/>
            <w:r w:rsidRPr="00693C92">
              <w:rPr>
                <w:sz w:val="26"/>
                <w:szCs w:val="26"/>
              </w:rPr>
              <w:t xml:space="preserve"> din 12 aprilie 2016 emise de Curtea de Apel din or.</w:t>
            </w:r>
            <w:r w:rsidR="00536C40" w:rsidRPr="00693C92">
              <w:rPr>
                <w:sz w:val="26"/>
                <w:szCs w:val="26"/>
              </w:rPr>
              <w:t xml:space="preserve"> Paris, prin care </w:t>
            </w:r>
            <w:r w:rsidRPr="00693C92">
              <w:rPr>
                <w:sz w:val="26"/>
                <w:szCs w:val="26"/>
              </w:rPr>
              <w:t xml:space="preserve">a </w:t>
            </w:r>
            <w:r w:rsidR="00536C40" w:rsidRPr="00693C92">
              <w:rPr>
                <w:sz w:val="26"/>
                <w:szCs w:val="26"/>
              </w:rPr>
              <w:t>casat și anulat</w:t>
            </w:r>
            <w:r w:rsidRPr="00693C92">
              <w:rPr>
                <w:sz w:val="26"/>
                <w:szCs w:val="26"/>
              </w:rPr>
              <w:t xml:space="preserve"> </w:t>
            </w:r>
            <w:r w:rsidR="00536C40" w:rsidRPr="00693C92">
              <w:rPr>
                <w:sz w:val="26"/>
                <w:szCs w:val="26"/>
              </w:rPr>
              <w:t>Hotărârea</w:t>
            </w:r>
            <w:r w:rsidRPr="00693C92">
              <w:rPr>
                <w:sz w:val="26"/>
                <w:szCs w:val="26"/>
              </w:rPr>
              <w:t xml:space="preserve"> </w:t>
            </w:r>
            <w:r w:rsidR="00536C40" w:rsidRPr="00693C92">
              <w:rPr>
                <w:sz w:val="26"/>
                <w:szCs w:val="26"/>
              </w:rPr>
              <w:t xml:space="preserve">supra indicată, </w:t>
            </w:r>
            <w:r w:rsidRPr="00693C92">
              <w:rPr>
                <w:sz w:val="26"/>
                <w:szCs w:val="26"/>
              </w:rPr>
              <w:t>cu remiterea cauzei spre rejudecare în alt complet de judecată.</w:t>
            </w:r>
          </w:p>
          <w:p w:rsidR="007B45BF" w:rsidRPr="00693C92" w:rsidRDefault="00536C40" w:rsidP="00376C84">
            <w:pPr>
              <w:ind w:firstLine="63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693C92">
              <w:rPr>
                <w:sz w:val="26"/>
                <w:szCs w:val="26"/>
              </w:rPr>
              <w:t xml:space="preserve">Potrivit </w:t>
            </w:r>
            <w:r w:rsidR="007B45BF" w:rsidRPr="00693C92">
              <w:rPr>
                <w:sz w:val="26"/>
                <w:szCs w:val="26"/>
              </w:rPr>
              <w:t xml:space="preserve">contractului </w:t>
            </w:r>
            <w:r w:rsidRPr="00693C92">
              <w:rPr>
                <w:sz w:val="26"/>
                <w:szCs w:val="26"/>
              </w:rPr>
              <w:t xml:space="preserve">nr.01/17 </w:t>
            </w:r>
            <w:r w:rsidR="007B45BF" w:rsidRPr="00693C92">
              <w:rPr>
                <w:sz w:val="26"/>
                <w:szCs w:val="26"/>
              </w:rPr>
              <w:t>din 20 ianuarie 2017</w:t>
            </w:r>
            <w:r w:rsidRPr="00693C92">
              <w:rPr>
                <w:sz w:val="26"/>
                <w:szCs w:val="26"/>
              </w:rPr>
              <w:t xml:space="preserve"> de acordare a serviciilor de reprezentare și consultanță juridică, </w:t>
            </w:r>
            <w:r w:rsidR="007B45BF" w:rsidRPr="00693C92">
              <w:rPr>
                <w:sz w:val="26"/>
                <w:szCs w:val="26"/>
              </w:rPr>
              <w:t xml:space="preserve"> interesele și asistenț</w:t>
            </w:r>
            <w:r w:rsidRPr="00693C92">
              <w:rPr>
                <w:sz w:val="26"/>
                <w:szCs w:val="26"/>
              </w:rPr>
              <w:t>a juridică a Republicii Moldova</w:t>
            </w:r>
            <w:r w:rsidR="007B45BF" w:rsidRPr="00693C92">
              <w:rPr>
                <w:sz w:val="26"/>
                <w:szCs w:val="26"/>
              </w:rPr>
              <w:t xml:space="preserve"> </w:t>
            </w:r>
            <w:proofErr w:type="spellStart"/>
            <w:r w:rsidR="007B45BF" w:rsidRPr="00693C92">
              <w:rPr>
                <w:sz w:val="26"/>
                <w:szCs w:val="26"/>
              </w:rPr>
              <w:t>sînt</w:t>
            </w:r>
            <w:proofErr w:type="spellEnd"/>
            <w:r w:rsidR="007B45BF" w:rsidRPr="00693C92">
              <w:rPr>
                <w:sz w:val="26"/>
                <w:szCs w:val="26"/>
              </w:rPr>
              <w:t xml:space="preserve"> reprezentate de  către compania </w:t>
            </w:r>
            <w:r w:rsidRPr="00693C92">
              <w:rPr>
                <w:sz w:val="26"/>
                <w:szCs w:val="26"/>
              </w:rPr>
              <w:t xml:space="preserve"> DLA Piper France LLP (Paris, </w:t>
            </w:r>
            <w:proofErr w:type="spellStart"/>
            <w:r w:rsidRPr="00693C92">
              <w:rPr>
                <w:sz w:val="26"/>
                <w:szCs w:val="26"/>
              </w:rPr>
              <w:t>Franţa</w:t>
            </w:r>
            <w:proofErr w:type="spellEnd"/>
            <w:r w:rsidRPr="00693C92">
              <w:rPr>
                <w:sz w:val="26"/>
                <w:szCs w:val="26"/>
              </w:rPr>
              <w:t xml:space="preserve">) </w:t>
            </w:r>
            <w:proofErr w:type="spellStart"/>
            <w:r w:rsidRPr="00693C92">
              <w:rPr>
                <w:sz w:val="26"/>
                <w:szCs w:val="26"/>
              </w:rPr>
              <w:t>şi</w:t>
            </w:r>
            <w:proofErr w:type="spellEnd"/>
            <w:r w:rsidRPr="00693C92">
              <w:rPr>
                <w:sz w:val="26"/>
                <w:szCs w:val="26"/>
              </w:rPr>
              <w:t xml:space="preserve"> BAA „ACI </w:t>
            </w:r>
            <w:proofErr w:type="spellStart"/>
            <w:r w:rsidRPr="00693C92">
              <w:rPr>
                <w:sz w:val="26"/>
                <w:szCs w:val="26"/>
              </w:rPr>
              <w:t>Partners</w:t>
            </w:r>
            <w:proofErr w:type="spellEnd"/>
            <w:r w:rsidRPr="00693C92">
              <w:rPr>
                <w:sz w:val="26"/>
                <w:szCs w:val="26"/>
              </w:rPr>
              <w:t xml:space="preserve">” (Republica Moldova) </w:t>
            </w:r>
            <w:proofErr w:type="spellStart"/>
            <w:r w:rsidR="007B45BF" w:rsidRPr="00693C92">
              <w:rPr>
                <w:sz w:val="26"/>
                <w:szCs w:val="26"/>
              </w:rPr>
              <w:t>pînă</w:t>
            </w:r>
            <w:proofErr w:type="spellEnd"/>
            <w:r w:rsidR="007B45BF" w:rsidRPr="00693C92">
              <w:rPr>
                <w:sz w:val="26"/>
                <w:szCs w:val="26"/>
              </w:rPr>
              <w:t xml:space="preserve"> la soluționarea definitivă a cazului în fața instanțelor franceze de drept comun.</w:t>
            </w:r>
          </w:p>
          <w:p w:rsidR="007B45BF" w:rsidRPr="00693C92" w:rsidRDefault="007B45BF" w:rsidP="00376C84">
            <w:pPr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</w:rPr>
              <w:t xml:space="preserve">În acest context, prin Memorandumul din 13 aprilie 2018, domnul Michael </w:t>
            </w:r>
            <w:proofErr w:type="spellStart"/>
            <w:r w:rsidRPr="00693C92">
              <w:rPr>
                <w:sz w:val="26"/>
                <w:szCs w:val="26"/>
              </w:rPr>
              <w:t>Ostrove</w:t>
            </w:r>
            <w:proofErr w:type="spellEnd"/>
            <w:r w:rsidRPr="00693C92">
              <w:rPr>
                <w:sz w:val="26"/>
                <w:szCs w:val="26"/>
              </w:rPr>
              <w:t>, partenerul DLA</w:t>
            </w:r>
            <w:r w:rsidR="00862AF6" w:rsidRPr="00693C92">
              <w:rPr>
                <w:sz w:val="26"/>
                <w:szCs w:val="26"/>
              </w:rPr>
              <w:t xml:space="preserve"> Piper France LLP (Paris, </w:t>
            </w:r>
            <w:proofErr w:type="spellStart"/>
            <w:r w:rsidR="00862AF6" w:rsidRPr="00693C92">
              <w:rPr>
                <w:sz w:val="26"/>
                <w:szCs w:val="26"/>
              </w:rPr>
              <w:t>Franţa</w:t>
            </w:r>
            <w:proofErr w:type="spellEnd"/>
            <w:r w:rsidR="00862AF6" w:rsidRPr="00693C92">
              <w:rPr>
                <w:sz w:val="26"/>
                <w:szCs w:val="26"/>
              </w:rPr>
              <w:t>)</w:t>
            </w:r>
            <w:r w:rsidRPr="00693C92">
              <w:rPr>
                <w:sz w:val="26"/>
                <w:szCs w:val="26"/>
              </w:rPr>
              <w:t xml:space="preserve">, a prezentat Ministerului Justiției propuneri privind cheltuielile </w:t>
            </w:r>
            <w:r w:rsidRPr="00693C92">
              <w:rPr>
                <w:sz w:val="26"/>
                <w:szCs w:val="26"/>
              </w:rPr>
              <w:lastRenderedPageBreak/>
              <w:t xml:space="preserve">suplimentare care urmează a fi suportate de Republica Moldova pentru asistența juridică și  reprezentarea în continuare a intereselor în fața Curții de Apel </w:t>
            </w:r>
            <w:r w:rsidR="00862AF6" w:rsidRPr="00693C92">
              <w:rPr>
                <w:sz w:val="26"/>
                <w:szCs w:val="26"/>
              </w:rPr>
              <w:t>Paris (Franța) și a Curții  de Casație Paris (Franța).</w:t>
            </w:r>
          </w:p>
          <w:p w:rsidR="00376C84" w:rsidRPr="00693C92" w:rsidRDefault="007B45BF" w:rsidP="00376C84">
            <w:pPr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</w:rPr>
              <w:t>Deoarece în bugetul de stat pe anul 201</w:t>
            </w:r>
            <w:r w:rsidR="00862AF6" w:rsidRPr="00693C92">
              <w:rPr>
                <w:sz w:val="26"/>
                <w:szCs w:val="26"/>
              </w:rPr>
              <w:t>8</w:t>
            </w:r>
            <w:r w:rsidRPr="00693C92">
              <w:rPr>
                <w:sz w:val="26"/>
                <w:szCs w:val="26"/>
              </w:rPr>
              <w:t xml:space="preserve"> nu au fost prevăzute mijloace financiare în scopul achitării serviciilor  suplimentare de reprezentare a intereselor statului, Ministerul Justiției a elaborat proiectul </w:t>
            </w:r>
            <w:proofErr w:type="spellStart"/>
            <w:r w:rsidRPr="00693C92">
              <w:rPr>
                <w:sz w:val="26"/>
                <w:szCs w:val="26"/>
              </w:rPr>
              <w:t>Hotărîrii</w:t>
            </w:r>
            <w:proofErr w:type="spellEnd"/>
            <w:r w:rsidRPr="00693C92">
              <w:rPr>
                <w:sz w:val="26"/>
                <w:szCs w:val="26"/>
              </w:rPr>
              <w:t xml:space="preserve"> Guvernului cu privire la alocarea mijloacelor financiare în acest sens.</w:t>
            </w:r>
          </w:p>
          <w:p w:rsidR="00881928" w:rsidRPr="00693C92" w:rsidRDefault="00862AF6" w:rsidP="00376C84">
            <w:pPr>
              <w:ind w:firstLine="630"/>
              <w:jc w:val="both"/>
              <w:rPr>
                <w:sz w:val="26"/>
                <w:szCs w:val="26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Concomitent, 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a</w:t>
            </w:r>
            <w:r w:rsidR="00881928" w:rsidRPr="00693C92">
              <w:rPr>
                <w:sz w:val="26"/>
                <w:szCs w:val="26"/>
                <w:lang w:eastAsia="ro-RO"/>
              </w:rPr>
              <w:t>vînd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în vedere că suma alocată din fondul de rezervă în anul precedent nu poate fi executată în anul curent, iar în bugetul de stat pe </w:t>
            </w:r>
            <w:r w:rsidR="007B45BF" w:rsidRPr="00693C92">
              <w:rPr>
                <w:sz w:val="26"/>
                <w:szCs w:val="26"/>
                <w:lang w:eastAsia="ro-RO"/>
              </w:rPr>
              <w:t>anul 2018</w:t>
            </w:r>
            <w:r w:rsidR="00881928" w:rsidRPr="00693C92">
              <w:rPr>
                <w:sz w:val="26"/>
                <w:szCs w:val="26"/>
                <w:lang w:eastAsia="ro-RO"/>
              </w:rPr>
              <w:t xml:space="preserve"> nu au fost prevăzute mijloace financiare în scopul achitării</w:t>
            </w:r>
            <w:r w:rsidR="007B45BF" w:rsidRPr="00693C92">
              <w:rPr>
                <w:sz w:val="26"/>
                <w:szCs w:val="26"/>
                <w:lang w:eastAsia="ro-RO"/>
              </w:rPr>
              <w:t xml:space="preserve"> datoriei</w:t>
            </w:r>
            <w:r w:rsidR="00881928" w:rsidRPr="00693C92">
              <w:rPr>
                <w:sz w:val="26"/>
                <w:szCs w:val="26"/>
                <w:lang w:eastAsia="ro-RO"/>
              </w:rPr>
              <w:t xml:space="preserve"> serviciilor de reprezentare a intereselor statului în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instanţele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judecătoreşti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în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instituţiile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de arbitraj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naţionale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şi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internaţionale</w:t>
            </w:r>
            <w:proofErr w:type="spellEnd"/>
            <w:r w:rsidR="00881928" w:rsidRPr="00693C92">
              <w:rPr>
                <w:sz w:val="26"/>
                <w:szCs w:val="26"/>
                <w:lang w:eastAsia="ro-RO"/>
              </w:rPr>
              <w:t xml:space="preserve">, Ministerul </w:t>
            </w:r>
            <w:proofErr w:type="spellStart"/>
            <w:r w:rsidR="00881928" w:rsidRPr="00693C92">
              <w:rPr>
                <w:sz w:val="26"/>
                <w:szCs w:val="26"/>
                <w:lang w:eastAsia="ro-RO"/>
              </w:rPr>
              <w:t>Justiţiei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 a inclus suma restantă echivalentă a 6713 dolari SUA.</w:t>
            </w:r>
          </w:p>
          <w:p w:rsidR="008519A8" w:rsidRPr="00693C92" w:rsidRDefault="008519A8" w:rsidP="00376C84">
            <w:pPr>
              <w:widowControl w:val="0"/>
              <w:ind w:firstLine="63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519A8" w:rsidRPr="00693C92" w:rsidTr="00875F4D">
        <w:tc>
          <w:tcPr>
            <w:tcW w:w="10660" w:type="dxa"/>
            <w:shd w:val="clear" w:color="auto" w:fill="D9D9D9" w:themeFill="background1" w:themeFillShade="D9"/>
          </w:tcPr>
          <w:p w:rsidR="008519A8" w:rsidRPr="00693C92" w:rsidRDefault="00376C84" w:rsidP="00376C84">
            <w:pPr>
              <w:pStyle w:val="a3"/>
              <w:widowControl w:val="0"/>
              <w:numPr>
                <w:ilvl w:val="0"/>
                <w:numId w:val="5"/>
              </w:numPr>
              <w:ind w:firstLine="63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93C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lastRenderedPageBreak/>
              <w:t>Principalele prevederi ale proiectului</w:t>
            </w:r>
          </w:p>
        </w:tc>
      </w:tr>
      <w:tr w:rsidR="008519A8" w:rsidRPr="00693C92" w:rsidTr="00875F4D">
        <w:tc>
          <w:tcPr>
            <w:tcW w:w="10660" w:type="dxa"/>
          </w:tcPr>
          <w:p w:rsidR="008519A8" w:rsidRPr="00693C92" w:rsidRDefault="008519A8" w:rsidP="00376C84">
            <w:pPr>
              <w:widowControl w:val="0"/>
              <w:ind w:firstLine="630"/>
              <w:jc w:val="both"/>
              <w:rPr>
                <w:color w:val="000000"/>
                <w:sz w:val="26"/>
                <w:szCs w:val="26"/>
              </w:rPr>
            </w:pPr>
          </w:p>
          <w:p w:rsidR="00376C84" w:rsidRPr="00693C92" w:rsidRDefault="00376C84" w:rsidP="00376C84">
            <w:pPr>
              <w:ind w:firstLine="63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</w:rPr>
              <w:t>Proiectul</w:t>
            </w:r>
            <w:r w:rsidRPr="00693C92">
              <w:rPr>
                <w:sz w:val="26"/>
                <w:szCs w:val="26"/>
                <w:lang w:eastAsia="ro-RO"/>
              </w:rPr>
              <w:t xml:space="preserve"> Hotărârii Guvernului propune alocarea Ministerului Justiției, din fondul de rezervă al Guvernului, a sumei echivalentă în lei a 121 7</w:t>
            </w:r>
            <w:r w:rsidR="007D77A5" w:rsidRPr="00693C92">
              <w:rPr>
                <w:sz w:val="26"/>
                <w:szCs w:val="26"/>
                <w:lang w:eastAsia="ro-RO"/>
              </w:rPr>
              <w:t>13 dolari SUA, după cum urmează</w:t>
            </w:r>
            <w:r w:rsidRPr="00693C92">
              <w:rPr>
                <w:sz w:val="26"/>
                <w:szCs w:val="26"/>
                <w:lang w:eastAsia="ro-RO"/>
              </w:rPr>
              <w:t xml:space="preserve">: </w:t>
            </w:r>
          </w:p>
          <w:p w:rsidR="00511254" w:rsidRPr="00693C92" w:rsidRDefault="00511254" w:rsidP="00376C84">
            <w:pPr>
              <w:ind w:firstLine="630"/>
              <w:jc w:val="both"/>
              <w:rPr>
                <w:sz w:val="26"/>
                <w:szCs w:val="26"/>
              </w:rPr>
            </w:pPr>
          </w:p>
          <w:p w:rsidR="00376C84" w:rsidRPr="00693C92" w:rsidRDefault="00376C84" w:rsidP="0051125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</w:rPr>
              <w:t>Pentru asistența la prestarea servic</w:t>
            </w:r>
            <w:r w:rsidR="00511254" w:rsidRPr="00693C92">
              <w:rPr>
                <w:sz w:val="26"/>
                <w:szCs w:val="26"/>
              </w:rPr>
              <w:t xml:space="preserve">iilor juridice de reprezentare </w:t>
            </w:r>
            <w:r w:rsidRPr="00693C92">
              <w:rPr>
                <w:sz w:val="26"/>
                <w:szCs w:val="26"/>
              </w:rPr>
              <w:t xml:space="preserve">a intereselor Republicii Moldova în </w:t>
            </w:r>
            <w:r w:rsidR="00511254" w:rsidRPr="00693C92">
              <w:rPr>
                <w:sz w:val="26"/>
                <w:szCs w:val="26"/>
              </w:rPr>
              <w:t xml:space="preserve">fața Curții de Apel din Paris în procesul rejudecării cauzei </w:t>
            </w:r>
            <w:r w:rsidR="00511254" w:rsidRPr="00693C92">
              <w:rPr>
                <w:sz w:val="26"/>
                <w:szCs w:val="26"/>
                <w:lang w:eastAsia="ro-RO"/>
              </w:rPr>
              <w:t>OOO „</w:t>
            </w:r>
            <w:proofErr w:type="spellStart"/>
            <w:r w:rsidR="00511254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511254" w:rsidRPr="00693C92">
              <w:rPr>
                <w:sz w:val="26"/>
                <w:szCs w:val="26"/>
                <w:lang w:eastAsia="ro-RO"/>
              </w:rPr>
              <w:t xml:space="preserve">” </w:t>
            </w:r>
            <w:r w:rsidR="00511254" w:rsidRPr="00693C92">
              <w:rPr>
                <w:sz w:val="26"/>
                <w:szCs w:val="26"/>
              </w:rPr>
              <w:t>(succesoarea în drepturi a OOO „</w:t>
            </w:r>
            <w:proofErr w:type="spellStart"/>
            <w:r w:rsidR="00511254" w:rsidRPr="00693C92">
              <w:rPr>
                <w:sz w:val="26"/>
                <w:szCs w:val="26"/>
              </w:rPr>
              <w:t>Энергоальянс</w:t>
            </w:r>
            <w:proofErr w:type="spellEnd"/>
            <w:r w:rsidR="00511254" w:rsidRPr="00693C92">
              <w:rPr>
                <w:sz w:val="26"/>
                <w:szCs w:val="26"/>
              </w:rPr>
              <w:t xml:space="preserve">”, Ucraina) împotriva Republicii Moldova, suma echivalentă a </w:t>
            </w:r>
            <w:r w:rsidR="00511254" w:rsidRPr="00693C92">
              <w:rPr>
                <w:sz w:val="26"/>
                <w:szCs w:val="26"/>
                <w:lang w:eastAsia="ro-RO"/>
              </w:rPr>
              <w:t xml:space="preserve"> </w:t>
            </w:r>
            <w:r w:rsidRPr="00693C92">
              <w:rPr>
                <w:sz w:val="26"/>
                <w:szCs w:val="26"/>
              </w:rPr>
              <w:t xml:space="preserve">65.000 </w:t>
            </w:r>
            <w:r w:rsidR="00511254" w:rsidRPr="00693C92">
              <w:rPr>
                <w:sz w:val="26"/>
                <w:szCs w:val="26"/>
              </w:rPr>
              <w:t>dolari SUA</w:t>
            </w:r>
            <w:r w:rsidRPr="00693C92">
              <w:rPr>
                <w:sz w:val="26"/>
                <w:szCs w:val="26"/>
              </w:rPr>
              <w:t>, care includ</w:t>
            </w:r>
            <w:r w:rsidR="00511254" w:rsidRPr="00693C92">
              <w:rPr>
                <w:sz w:val="26"/>
                <w:szCs w:val="26"/>
              </w:rPr>
              <w:t>e: suma echivalentă a 7.000 dolari SUA</w:t>
            </w:r>
            <w:r w:rsidRPr="00693C92">
              <w:rPr>
                <w:sz w:val="26"/>
                <w:szCs w:val="26"/>
              </w:rPr>
              <w:t xml:space="preserve"> pentru onorariile  avocaților specializați ai Curții de Apel </w:t>
            </w:r>
            <w:r w:rsidR="00511254" w:rsidRPr="00693C92">
              <w:rPr>
                <w:sz w:val="26"/>
                <w:szCs w:val="26"/>
              </w:rPr>
              <w:t xml:space="preserve">din Paris </w:t>
            </w:r>
            <w:r w:rsidRPr="00693C92">
              <w:rPr>
                <w:sz w:val="26"/>
                <w:szCs w:val="26"/>
              </w:rPr>
              <w:t>care acționează în calitate de intermediar</w:t>
            </w:r>
            <w:r w:rsidR="00511254" w:rsidRPr="00693C92">
              <w:rPr>
                <w:sz w:val="26"/>
                <w:szCs w:val="26"/>
              </w:rPr>
              <w:t>i</w:t>
            </w:r>
            <w:r w:rsidRPr="00693C92">
              <w:rPr>
                <w:sz w:val="26"/>
                <w:szCs w:val="26"/>
              </w:rPr>
              <w:t xml:space="preserve"> între părți, </w:t>
            </w:r>
            <w:r w:rsidR="00511254" w:rsidRPr="00693C92">
              <w:rPr>
                <w:sz w:val="26"/>
                <w:szCs w:val="26"/>
              </w:rPr>
              <w:t xml:space="preserve">suma echivalentă a </w:t>
            </w:r>
            <w:r w:rsidRPr="00693C92">
              <w:rPr>
                <w:sz w:val="26"/>
                <w:szCs w:val="26"/>
              </w:rPr>
              <w:t xml:space="preserve">1.000 </w:t>
            </w:r>
            <w:r w:rsidR="00511254" w:rsidRPr="00693C92">
              <w:rPr>
                <w:sz w:val="26"/>
                <w:szCs w:val="26"/>
              </w:rPr>
              <w:t xml:space="preserve">dolari SUA </w:t>
            </w:r>
            <w:r w:rsidRPr="00693C92">
              <w:rPr>
                <w:sz w:val="26"/>
                <w:szCs w:val="26"/>
              </w:rPr>
              <w:t>-  plățile pentru notificarea Curții de Apel</w:t>
            </w:r>
            <w:r w:rsidR="00511254" w:rsidRPr="00693C92">
              <w:rPr>
                <w:sz w:val="26"/>
                <w:szCs w:val="26"/>
              </w:rPr>
              <w:t xml:space="preserve"> din Paris </w:t>
            </w:r>
            <w:r w:rsidR="00F11120" w:rsidRPr="00693C92">
              <w:rPr>
                <w:sz w:val="26"/>
                <w:szCs w:val="26"/>
              </w:rPr>
              <w:t>privind procedura de rejudecare</w:t>
            </w:r>
            <w:r w:rsidRPr="00693C92">
              <w:rPr>
                <w:sz w:val="26"/>
                <w:szCs w:val="26"/>
              </w:rPr>
              <w:t>,  traducer</w:t>
            </w:r>
            <w:r w:rsidR="00F11120" w:rsidRPr="00693C92">
              <w:rPr>
                <w:sz w:val="26"/>
                <w:szCs w:val="26"/>
              </w:rPr>
              <w:t>ea hotărârii</w:t>
            </w:r>
            <w:r w:rsidRPr="00693C92">
              <w:rPr>
                <w:sz w:val="26"/>
                <w:szCs w:val="26"/>
              </w:rPr>
              <w:t xml:space="preserve"> care urmează a fi adoptată ulterior de către Curtea de Apel</w:t>
            </w:r>
            <w:r w:rsidR="00F11120" w:rsidRPr="00693C92">
              <w:rPr>
                <w:sz w:val="26"/>
                <w:szCs w:val="26"/>
              </w:rPr>
              <w:t xml:space="preserve"> din  Paris și suma echivalentă a</w:t>
            </w:r>
            <w:r w:rsidRPr="00693C92">
              <w:rPr>
                <w:sz w:val="26"/>
                <w:szCs w:val="26"/>
              </w:rPr>
              <w:t xml:space="preserve"> 57.000</w:t>
            </w:r>
            <w:r w:rsidR="00F11120" w:rsidRPr="00693C92">
              <w:rPr>
                <w:sz w:val="26"/>
                <w:szCs w:val="26"/>
              </w:rPr>
              <w:t xml:space="preserve"> dolari SUA </w:t>
            </w:r>
            <w:r w:rsidRPr="00693C92">
              <w:rPr>
                <w:sz w:val="26"/>
                <w:szCs w:val="26"/>
              </w:rPr>
              <w:t>– taxele pentru</w:t>
            </w:r>
            <w:r w:rsidR="00F11120" w:rsidRPr="00693C92">
              <w:rPr>
                <w:sz w:val="26"/>
                <w:szCs w:val="26"/>
              </w:rPr>
              <w:t xml:space="preserve"> perfectarea și prezentarea referinței argumentate</w:t>
            </w:r>
            <w:r w:rsidRPr="00693C92">
              <w:rPr>
                <w:sz w:val="26"/>
                <w:szCs w:val="26"/>
              </w:rPr>
              <w:t xml:space="preserve"> </w:t>
            </w:r>
            <w:r w:rsidR="00F11120" w:rsidRPr="00693C92">
              <w:rPr>
                <w:sz w:val="26"/>
                <w:szCs w:val="26"/>
              </w:rPr>
              <w:t>Curții de Apel din Paris.</w:t>
            </w:r>
          </w:p>
          <w:p w:rsidR="00376C84" w:rsidRPr="00693C92" w:rsidRDefault="00F11120" w:rsidP="00F1112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</w:rPr>
              <w:t xml:space="preserve">Pentru asistența la prestarea serviciilor juridice de reprezentare a intereselor Republicii Moldova în fața Curții de Casație din Paris în procesul examinării eventualului recurs în cauza </w:t>
            </w:r>
            <w:r w:rsidRPr="00693C92">
              <w:rPr>
                <w:sz w:val="26"/>
                <w:szCs w:val="26"/>
                <w:lang w:eastAsia="ro-RO"/>
              </w:rPr>
              <w:t>OOO „</w:t>
            </w:r>
            <w:proofErr w:type="spellStart"/>
            <w:r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Pr="00693C92">
              <w:rPr>
                <w:sz w:val="26"/>
                <w:szCs w:val="26"/>
                <w:lang w:eastAsia="ro-RO"/>
              </w:rPr>
              <w:t xml:space="preserve">” </w:t>
            </w:r>
            <w:r w:rsidRPr="00693C92">
              <w:rPr>
                <w:sz w:val="26"/>
                <w:szCs w:val="26"/>
              </w:rPr>
              <w:t>(succesoarea în drepturi a OOO „</w:t>
            </w:r>
            <w:proofErr w:type="spellStart"/>
            <w:r w:rsidRPr="00693C92">
              <w:rPr>
                <w:sz w:val="26"/>
                <w:szCs w:val="26"/>
              </w:rPr>
              <w:t>Энергоальянс</w:t>
            </w:r>
            <w:proofErr w:type="spellEnd"/>
            <w:r w:rsidRPr="00693C92">
              <w:rPr>
                <w:sz w:val="26"/>
                <w:szCs w:val="26"/>
              </w:rPr>
              <w:t xml:space="preserve">”, Ucraina) împotriva Republicii Moldova, suma echivalentă a </w:t>
            </w:r>
            <w:r w:rsidRPr="00693C92">
              <w:rPr>
                <w:sz w:val="26"/>
                <w:szCs w:val="26"/>
                <w:lang w:eastAsia="ro-RO"/>
              </w:rPr>
              <w:t xml:space="preserve"> </w:t>
            </w:r>
            <w:r w:rsidRPr="00693C92">
              <w:rPr>
                <w:sz w:val="26"/>
                <w:szCs w:val="26"/>
              </w:rPr>
              <w:t xml:space="preserve">50 000 dolari SUA, care include: suma echivalentă a </w:t>
            </w:r>
            <w:r w:rsidR="00376C84" w:rsidRPr="00693C92">
              <w:rPr>
                <w:sz w:val="26"/>
                <w:szCs w:val="26"/>
              </w:rPr>
              <w:t>25.000</w:t>
            </w:r>
            <w:r w:rsidRPr="00693C92">
              <w:rPr>
                <w:sz w:val="26"/>
                <w:szCs w:val="26"/>
              </w:rPr>
              <w:t xml:space="preserve"> dolari SUA, constituie</w:t>
            </w:r>
            <w:r w:rsidR="00376C84" w:rsidRPr="00693C92">
              <w:rPr>
                <w:sz w:val="26"/>
                <w:szCs w:val="26"/>
              </w:rPr>
              <w:t xml:space="preserve"> comisioanele </w:t>
            </w:r>
            <w:r w:rsidRPr="00693C92">
              <w:rPr>
                <w:sz w:val="26"/>
                <w:szCs w:val="26"/>
              </w:rPr>
              <w:t>avocaților ce urmează să se prezinte în fața</w:t>
            </w:r>
            <w:r w:rsidR="00376C84" w:rsidRPr="00693C92">
              <w:rPr>
                <w:sz w:val="26"/>
                <w:szCs w:val="26"/>
              </w:rPr>
              <w:t xml:space="preserve"> Curții de Casație </w:t>
            </w:r>
            <w:r w:rsidRPr="00693C92">
              <w:rPr>
                <w:sz w:val="26"/>
                <w:szCs w:val="26"/>
              </w:rPr>
              <w:t xml:space="preserve">din Paris </w:t>
            </w:r>
            <w:r w:rsidR="00376C84" w:rsidRPr="00693C92">
              <w:rPr>
                <w:sz w:val="26"/>
                <w:szCs w:val="26"/>
              </w:rPr>
              <w:t xml:space="preserve">și </w:t>
            </w:r>
            <w:r w:rsidRPr="00693C92">
              <w:rPr>
                <w:sz w:val="26"/>
                <w:szCs w:val="26"/>
              </w:rPr>
              <w:t xml:space="preserve">suma echivalentă a </w:t>
            </w:r>
            <w:r w:rsidR="00376C84" w:rsidRPr="00693C92">
              <w:rPr>
                <w:sz w:val="26"/>
                <w:szCs w:val="26"/>
              </w:rPr>
              <w:t xml:space="preserve">25.000 </w:t>
            </w:r>
            <w:r w:rsidRPr="00693C92">
              <w:rPr>
                <w:sz w:val="26"/>
                <w:szCs w:val="26"/>
              </w:rPr>
              <w:t xml:space="preserve">dolari SUA </w:t>
            </w:r>
            <w:r w:rsidR="00857685" w:rsidRPr="00693C92">
              <w:rPr>
                <w:sz w:val="26"/>
                <w:szCs w:val="26"/>
              </w:rPr>
              <w:t>-</w:t>
            </w:r>
            <w:r w:rsidR="00376C84" w:rsidRPr="00693C92">
              <w:rPr>
                <w:sz w:val="26"/>
                <w:szCs w:val="26"/>
              </w:rPr>
              <w:t xml:space="preserve">onorariile </w:t>
            </w:r>
            <w:r w:rsidR="00857685" w:rsidRPr="00693C92">
              <w:rPr>
                <w:sz w:val="26"/>
                <w:szCs w:val="26"/>
              </w:rPr>
              <w:t xml:space="preserve">companiei pentru </w:t>
            </w:r>
            <w:r w:rsidR="00376C84" w:rsidRPr="00693C92">
              <w:rPr>
                <w:sz w:val="26"/>
                <w:szCs w:val="26"/>
              </w:rPr>
              <w:t xml:space="preserve">asistență juridică </w:t>
            </w:r>
            <w:r w:rsidR="00857685" w:rsidRPr="00693C92">
              <w:rPr>
                <w:sz w:val="26"/>
                <w:szCs w:val="26"/>
              </w:rPr>
              <w:t>acordată la examinarea unui eventual recurs în fața Curții de Casație din Paris.</w:t>
            </w:r>
          </w:p>
          <w:p w:rsidR="00857685" w:rsidRPr="00693C92" w:rsidRDefault="00857685" w:rsidP="00F1112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</w:rPr>
              <w:t>Pentru achitarea datoriei acumulate față de compania DLA Piper France LLP</w:t>
            </w:r>
            <w:r w:rsidR="008C7E0E" w:rsidRPr="00693C92">
              <w:rPr>
                <w:sz w:val="26"/>
                <w:szCs w:val="26"/>
              </w:rPr>
              <w:t xml:space="preserve"> (Paris, Franța)</w:t>
            </w:r>
            <w:r w:rsidRPr="00693C92">
              <w:rPr>
                <w:sz w:val="26"/>
                <w:szCs w:val="26"/>
              </w:rPr>
              <w:t xml:space="preserve"> pentru anul 2017, a sumei echivalentă a 6713 dolari SUA.</w:t>
            </w:r>
          </w:p>
          <w:p w:rsidR="00862AF6" w:rsidRPr="00693C92" w:rsidRDefault="00862AF6" w:rsidP="00857685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519A8" w:rsidRPr="00693C92" w:rsidTr="00875F4D">
        <w:tc>
          <w:tcPr>
            <w:tcW w:w="10660" w:type="dxa"/>
            <w:shd w:val="clear" w:color="auto" w:fill="D9D9D9" w:themeFill="background1" w:themeFillShade="D9"/>
          </w:tcPr>
          <w:p w:rsidR="008519A8" w:rsidRPr="00693C92" w:rsidRDefault="008519A8" w:rsidP="00EB4E01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93C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Fundamentarea economică-financiară</w:t>
            </w:r>
          </w:p>
        </w:tc>
      </w:tr>
      <w:tr w:rsidR="008519A8" w:rsidRPr="00693C92" w:rsidTr="00875F4D">
        <w:tc>
          <w:tcPr>
            <w:tcW w:w="10660" w:type="dxa"/>
          </w:tcPr>
          <w:p w:rsidR="008519A8" w:rsidRPr="00693C92" w:rsidRDefault="008519A8" w:rsidP="00376C84">
            <w:pPr>
              <w:pStyle w:val="a3"/>
              <w:widowControl w:val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o-RO"/>
              </w:rPr>
            </w:pPr>
          </w:p>
          <w:p w:rsidR="00376C84" w:rsidRPr="00693C92" w:rsidRDefault="00376C84" w:rsidP="008C7E0E">
            <w:pPr>
              <w:autoSpaceDE w:val="0"/>
              <w:autoSpaceDN w:val="0"/>
              <w:adjustRightInd w:val="0"/>
              <w:ind w:firstLine="488"/>
              <w:jc w:val="both"/>
              <w:rPr>
                <w:sz w:val="26"/>
                <w:szCs w:val="26"/>
                <w:lang w:eastAsia="ro-RO"/>
              </w:rPr>
            </w:pPr>
            <w:r w:rsidRPr="00693C92">
              <w:rPr>
                <w:sz w:val="26"/>
                <w:szCs w:val="26"/>
                <w:lang w:eastAsia="ro-RO"/>
              </w:rPr>
              <w:t xml:space="preserve">Suma de </w:t>
            </w:r>
            <w:r w:rsidR="00857685" w:rsidRPr="00693C92">
              <w:rPr>
                <w:sz w:val="26"/>
                <w:szCs w:val="26"/>
                <w:lang w:eastAsia="ro-RO"/>
              </w:rPr>
              <w:t xml:space="preserve">121 713 dolari SUA </w:t>
            </w:r>
            <w:r w:rsidRPr="00693C92">
              <w:rPr>
                <w:sz w:val="26"/>
                <w:szCs w:val="26"/>
                <w:lang w:eastAsia="ro-RO"/>
              </w:rPr>
              <w:t xml:space="preserve">constituie suma </w:t>
            </w:r>
            <w:r w:rsidR="00857685" w:rsidRPr="00693C92">
              <w:rPr>
                <w:sz w:val="26"/>
                <w:szCs w:val="26"/>
                <w:lang w:eastAsia="ro-RO"/>
              </w:rPr>
              <w:t xml:space="preserve">ce urmează a fi achitată companiei </w:t>
            </w:r>
            <w:r w:rsidR="00857685" w:rsidRPr="00693C92">
              <w:rPr>
                <w:sz w:val="26"/>
                <w:szCs w:val="26"/>
              </w:rPr>
              <w:t xml:space="preserve">DLA Piper France LLP </w:t>
            </w:r>
            <w:r w:rsidR="008C7E0E" w:rsidRPr="00693C92">
              <w:rPr>
                <w:sz w:val="26"/>
                <w:szCs w:val="26"/>
              </w:rPr>
              <w:t xml:space="preserve">( Paris, Franța) </w:t>
            </w:r>
            <w:r w:rsidR="00857685" w:rsidRPr="00693C92">
              <w:rPr>
                <w:sz w:val="26"/>
                <w:szCs w:val="26"/>
              </w:rPr>
              <w:t>pentru serviciile juridice și de consultanță, prestate</w:t>
            </w:r>
            <w:r w:rsidR="00615BB4" w:rsidRPr="00693C92">
              <w:rPr>
                <w:sz w:val="26"/>
                <w:szCs w:val="26"/>
              </w:rPr>
              <w:t>/care vor fi prestate</w:t>
            </w:r>
            <w:r w:rsidR="00857685" w:rsidRPr="00693C92">
              <w:rPr>
                <w:sz w:val="26"/>
                <w:szCs w:val="26"/>
              </w:rPr>
              <w:t xml:space="preserve"> Republicii Moldova la examinarea cauzei </w:t>
            </w:r>
            <w:r w:rsidR="008C7E0E" w:rsidRPr="00693C92">
              <w:rPr>
                <w:sz w:val="26"/>
                <w:szCs w:val="26"/>
                <w:lang w:eastAsia="ro-RO"/>
              </w:rPr>
              <w:t>OOO „</w:t>
            </w:r>
            <w:proofErr w:type="spellStart"/>
            <w:r w:rsidR="008C7E0E" w:rsidRPr="00693C92">
              <w:rPr>
                <w:sz w:val="26"/>
                <w:szCs w:val="26"/>
                <w:lang w:eastAsia="ro-RO"/>
              </w:rPr>
              <w:t>Koмстрой</w:t>
            </w:r>
            <w:proofErr w:type="spellEnd"/>
            <w:r w:rsidR="008C7E0E" w:rsidRPr="00693C92">
              <w:rPr>
                <w:sz w:val="26"/>
                <w:szCs w:val="26"/>
                <w:lang w:eastAsia="ro-RO"/>
              </w:rPr>
              <w:t xml:space="preserve">” </w:t>
            </w:r>
            <w:r w:rsidR="008C7E0E" w:rsidRPr="00693C92">
              <w:rPr>
                <w:sz w:val="26"/>
                <w:szCs w:val="26"/>
              </w:rPr>
              <w:t xml:space="preserve">împotriva Republicii Moldova </w:t>
            </w:r>
            <w:r w:rsidR="00857685" w:rsidRPr="00693C92">
              <w:rPr>
                <w:sz w:val="26"/>
                <w:szCs w:val="26"/>
              </w:rPr>
              <w:t>în cadrul Curții de Apel din Pari</w:t>
            </w:r>
            <w:r w:rsidR="008C7E0E" w:rsidRPr="00693C92">
              <w:rPr>
                <w:sz w:val="26"/>
                <w:szCs w:val="26"/>
              </w:rPr>
              <w:t>s și Curții de Casație din Paris, precum și datoria acumulată față de compania DLA Piper France LLP pentru anul 2017.</w:t>
            </w:r>
          </w:p>
        </w:tc>
      </w:tr>
      <w:tr w:rsidR="00EB4E01" w:rsidRPr="00693C92" w:rsidTr="00875F4D">
        <w:tc>
          <w:tcPr>
            <w:tcW w:w="10660" w:type="dxa"/>
            <w:shd w:val="clear" w:color="auto" w:fill="D9D9D9" w:themeFill="background1" w:themeFillShade="D9"/>
          </w:tcPr>
          <w:p w:rsidR="00EB4E01" w:rsidRPr="00693C92" w:rsidRDefault="00EB4E01" w:rsidP="009A2538">
            <w:pPr>
              <w:pStyle w:val="a3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693C92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Respectarea transparenței decizionale</w:t>
            </w:r>
          </w:p>
        </w:tc>
      </w:tr>
      <w:tr w:rsidR="00EB4E01" w:rsidRPr="00693C92" w:rsidTr="00875F4D">
        <w:tc>
          <w:tcPr>
            <w:tcW w:w="10660" w:type="dxa"/>
          </w:tcPr>
          <w:p w:rsidR="00EB4E01" w:rsidRPr="00693C92" w:rsidRDefault="008C7E0E" w:rsidP="00EB4E01">
            <w:pPr>
              <w:pStyle w:val="a3"/>
              <w:widowControl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</w:pPr>
            <w:r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 </w:t>
            </w:r>
            <w:r w:rsidR="00EB4E01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În scopul respectării prevederilor Legii nr. 239 din 13 noiembrie 2008 privind </w:t>
            </w:r>
            <w:r w:rsidR="00693C92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>transparența</w:t>
            </w:r>
            <w:r w:rsidR="00EB4E01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în procesul decizional, p</w:t>
            </w:r>
            <w:r w:rsidR="00EB4E01" w:rsidRPr="00693C9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roiectul </w:t>
            </w:r>
            <w:r w:rsidR="00693C92" w:rsidRPr="00693C9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Hotărârii</w:t>
            </w:r>
            <w:r w:rsidR="00EB4E01" w:rsidRPr="00693C92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Guvernului </w:t>
            </w:r>
            <w:r w:rsidR="00EB4E01" w:rsidRPr="00693C92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a fost plasat pe pagina web </w:t>
            </w:r>
            <w:r w:rsidR="00EB4E01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oficială a Ministerului </w:t>
            </w:r>
            <w:r w:rsidR="00693C92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lastRenderedPageBreak/>
              <w:t>Justiției</w:t>
            </w:r>
            <w:r w:rsidR="00EB4E01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 </w:t>
            </w:r>
            <w:hyperlink r:id="rId7" w:history="1">
              <w:r w:rsidR="00EB4E01" w:rsidRPr="00693C92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ro-RO"/>
                </w:rPr>
                <w:t>www.justice.gov.md</w:t>
              </w:r>
            </w:hyperlink>
            <w:r w:rsidR="00EB4E01" w:rsidRPr="00693C92">
              <w:rPr>
                <w:rFonts w:ascii="Times New Roman" w:hAnsi="Times New Roman" w:cs="Times New Roman"/>
                <w:bCs/>
                <w:sz w:val="26"/>
                <w:szCs w:val="26"/>
                <w:lang w:val="ro-RO"/>
              </w:rPr>
              <w:t xml:space="preserve">, </w:t>
            </w:r>
            <w:r w:rsidR="00EB4E01" w:rsidRPr="00693C92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compartimentul </w:t>
            </w:r>
            <w:r w:rsidR="00693C92" w:rsidRPr="00693C9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  <w:t>Transparența</w:t>
            </w:r>
            <w:r w:rsidR="00EB4E01" w:rsidRPr="00693C9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  <w:t xml:space="preserve"> decizională</w:t>
            </w:r>
            <w:r w:rsidR="00EB4E01" w:rsidRPr="00693C92">
              <w:rPr>
                <w:rFonts w:ascii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, directoriul </w:t>
            </w:r>
            <w:r w:rsidR="00EB4E01" w:rsidRPr="00693C9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  <w:t>Proiecte de acte normative remise spre coordonare.</w:t>
            </w:r>
          </w:p>
          <w:p w:rsidR="00427025" w:rsidRPr="00693C92" w:rsidRDefault="00427025" w:rsidP="00427025">
            <w:pPr>
              <w:pStyle w:val="a3"/>
              <w:widowControl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</w:pPr>
            <w:r w:rsidRPr="00693C9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val="ro-RO"/>
              </w:rPr>
              <w:t xml:space="preserve">Proiectul a fost avizat de către Ministerul Finanțelor, Ministerul Economiei și Infrastructurii și Cancelaria de Stat. </w:t>
            </w:r>
          </w:p>
          <w:p w:rsidR="00427025" w:rsidRPr="00693C92" w:rsidRDefault="00427025" w:rsidP="00D52F66">
            <w:pPr>
              <w:pStyle w:val="a3"/>
              <w:widowControl w:val="0"/>
              <w:ind w:firstLine="36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o-RO"/>
              </w:rPr>
            </w:pPr>
            <w:r w:rsidRPr="00693C9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În raportul de expertiză anticorupție nr. EHG18/5222 din 11 iulie 2018, Centrul Național Anticorupție nu a identificat factori coruptibili, însă au propus autorului proiectului completarea notei informative cu date privind existența mijloacelor financiare suficiente în Fondul de rezervă al Guvernului și informații privind obiectul litigiului </w:t>
            </w:r>
            <w:r w:rsidR="00D52F66" w:rsidRPr="00693C92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pentru soluționarea căruia se alocă mijloacele financiare, complexitatea acestuia și importanța cauzei, precum și riscurile posibile.</w:t>
            </w:r>
          </w:p>
        </w:tc>
      </w:tr>
    </w:tbl>
    <w:p w:rsidR="008519A8" w:rsidRPr="00693C92" w:rsidRDefault="008519A8" w:rsidP="008519A8">
      <w:pPr>
        <w:pStyle w:val="a3"/>
        <w:widowContro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9225E" w:rsidRPr="00693C92" w:rsidRDefault="0089225E" w:rsidP="008519A8">
      <w:pPr>
        <w:pStyle w:val="a3"/>
        <w:widowContro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A69E5" w:rsidRPr="00693C92" w:rsidRDefault="00D52F66" w:rsidP="0089225E">
      <w:pPr>
        <w:tabs>
          <w:tab w:val="left" w:pos="6330"/>
        </w:tabs>
        <w:rPr>
          <w:b/>
          <w:sz w:val="26"/>
          <w:szCs w:val="26"/>
        </w:rPr>
      </w:pPr>
      <w:r w:rsidRPr="00693C92">
        <w:rPr>
          <w:b/>
          <w:sz w:val="26"/>
          <w:szCs w:val="26"/>
        </w:rPr>
        <w:t xml:space="preserve">         Ministru </w:t>
      </w:r>
      <w:r w:rsidR="0089225E" w:rsidRPr="00693C92">
        <w:rPr>
          <w:b/>
          <w:sz w:val="26"/>
          <w:szCs w:val="26"/>
        </w:rPr>
        <w:t xml:space="preserve"> </w:t>
      </w:r>
      <w:r w:rsidR="0089225E" w:rsidRPr="00693C92">
        <w:rPr>
          <w:b/>
          <w:sz w:val="26"/>
          <w:szCs w:val="26"/>
        </w:rPr>
        <w:tab/>
        <w:t xml:space="preserve">     </w:t>
      </w:r>
      <w:r w:rsidRPr="00693C92">
        <w:rPr>
          <w:b/>
          <w:sz w:val="26"/>
          <w:szCs w:val="26"/>
        </w:rPr>
        <w:t>Victoria IFTODI</w:t>
      </w:r>
      <w:r w:rsidR="00A46C67" w:rsidRPr="00693C92">
        <w:rPr>
          <w:b/>
          <w:sz w:val="26"/>
          <w:szCs w:val="26"/>
        </w:rPr>
        <w:t xml:space="preserve"> </w:t>
      </w:r>
    </w:p>
    <w:p w:rsidR="00D52F66" w:rsidRPr="00693C92" w:rsidRDefault="00D52F66" w:rsidP="0089225E">
      <w:pPr>
        <w:tabs>
          <w:tab w:val="left" w:pos="6330"/>
        </w:tabs>
        <w:rPr>
          <w:b/>
          <w:sz w:val="26"/>
          <w:szCs w:val="26"/>
        </w:rPr>
      </w:pPr>
    </w:p>
    <w:p w:rsidR="00D52F66" w:rsidRPr="00693C92" w:rsidRDefault="00D52F66" w:rsidP="0089225E">
      <w:pPr>
        <w:tabs>
          <w:tab w:val="left" w:pos="6330"/>
        </w:tabs>
        <w:rPr>
          <w:b/>
          <w:sz w:val="26"/>
          <w:szCs w:val="26"/>
        </w:rPr>
      </w:pPr>
    </w:p>
    <w:p w:rsidR="00D52F66" w:rsidRPr="00693C92" w:rsidRDefault="00D52F66" w:rsidP="0089225E">
      <w:pPr>
        <w:tabs>
          <w:tab w:val="left" w:pos="6330"/>
        </w:tabs>
        <w:rPr>
          <w:b/>
          <w:sz w:val="32"/>
          <w:szCs w:val="32"/>
        </w:rPr>
      </w:pPr>
    </w:p>
    <w:sectPr w:rsidR="00D52F66" w:rsidRPr="00693C92" w:rsidSect="00DF71D6">
      <w:footerReference w:type="default" r:id="rId8"/>
      <w:pgSz w:w="12240" w:h="15840"/>
      <w:pgMar w:top="426" w:right="758" w:bottom="142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30" w:rsidRDefault="00241730">
      <w:r>
        <w:separator/>
      </w:r>
    </w:p>
  </w:endnote>
  <w:endnote w:type="continuationSeparator" w:id="0">
    <w:p w:rsidR="00241730" w:rsidRDefault="002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B0" w:rsidRDefault="00241730">
    <w:pPr>
      <w:pStyle w:val="a5"/>
      <w:jc w:val="right"/>
    </w:pPr>
  </w:p>
  <w:p w:rsidR="008A04B0" w:rsidRDefault="00241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30" w:rsidRDefault="00241730">
      <w:r>
        <w:separator/>
      </w:r>
    </w:p>
  </w:footnote>
  <w:footnote w:type="continuationSeparator" w:id="0">
    <w:p w:rsidR="00241730" w:rsidRDefault="0024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19C"/>
    <w:multiLevelType w:val="hybridMultilevel"/>
    <w:tmpl w:val="3DE8510E"/>
    <w:lvl w:ilvl="0" w:tplc="F6885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4207"/>
    <w:multiLevelType w:val="hybridMultilevel"/>
    <w:tmpl w:val="FD3698C8"/>
    <w:lvl w:ilvl="0" w:tplc="08948DCA">
      <w:start w:val="1"/>
      <w:numFmt w:val="decimal"/>
      <w:lvlText w:val="%1)"/>
      <w:lvlJc w:val="left"/>
      <w:pPr>
        <w:ind w:left="99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5F83983"/>
    <w:multiLevelType w:val="hybridMultilevel"/>
    <w:tmpl w:val="1B0AB638"/>
    <w:lvl w:ilvl="0" w:tplc="3BF22E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368CD"/>
    <w:multiLevelType w:val="hybridMultilevel"/>
    <w:tmpl w:val="C5FCE1AE"/>
    <w:lvl w:ilvl="0" w:tplc="9EEE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5415"/>
    <w:multiLevelType w:val="hybridMultilevel"/>
    <w:tmpl w:val="1EE0F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EE8"/>
    <w:multiLevelType w:val="hybridMultilevel"/>
    <w:tmpl w:val="9C7475B8"/>
    <w:lvl w:ilvl="0" w:tplc="66A2BC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C67220"/>
    <w:multiLevelType w:val="hybridMultilevel"/>
    <w:tmpl w:val="05BC7848"/>
    <w:lvl w:ilvl="0" w:tplc="E66A16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F6AE4"/>
    <w:multiLevelType w:val="hybridMultilevel"/>
    <w:tmpl w:val="85BC175C"/>
    <w:lvl w:ilvl="0" w:tplc="EE282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70E5"/>
    <w:multiLevelType w:val="hybridMultilevel"/>
    <w:tmpl w:val="8244F0C4"/>
    <w:lvl w:ilvl="0" w:tplc="3BF22EE2">
      <w:numFmt w:val="bullet"/>
      <w:lvlText w:val="-"/>
      <w:lvlJc w:val="left"/>
      <w:pPr>
        <w:ind w:left="106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A8"/>
    <w:rsid w:val="000376F6"/>
    <w:rsid w:val="00090338"/>
    <w:rsid w:val="000A69E5"/>
    <w:rsid w:val="000F148F"/>
    <w:rsid w:val="00176A2F"/>
    <w:rsid w:val="001B1083"/>
    <w:rsid w:val="0023206B"/>
    <w:rsid w:val="00241730"/>
    <w:rsid w:val="002729E7"/>
    <w:rsid w:val="002A6DF9"/>
    <w:rsid w:val="002B0D96"/>
    <w:rsid w:val="00312CEF"/>
    <w:rsid w:val="00376C84"/>
    <w:rsid w:val="00427025"/>
    <w:rsid w:val="00511254"/>
    <w:rsid w:val="00536C40"/>
    <w:rsid w:val="0058750F"/>
    <w:rsid w:val="005C5471"/>
    <w:rsid w:val="00615BB4"/>
    <w:rsid w:val="006361F0"/>
    <w:rsid w:val="00693C92"/>
    <w:rsid w:val="006D5B9E"/>
    <w:rsid w:val="007A37F9"/>
    <w:rsid w:val="007B45BF"/>
    <w:rsid w:val="007D77A5"/>
    <w:rsid w:val="008032B7"/>
    <w:rsid w:val="008519A8"/>
    <w:rsid w:val="00857685"/>
    <w:rsid w:val="00862AF6"/>
    <w:rsid w:val="00875F4D"/>
    <w:rsid w:val="00881928"/>
    <w:rsid w:val="0089225E"/>
    <w:rsid w:val="008B0ABA"/>
    <w:rsid w:val="008C7E0E"/>
    <w:rsid w:val="008F2B3B"/>
    <w:rsid w:val="009627C9"/>
    <w:rsid w:val="009820A3"/>
    <w:rsid w:val="0099015A"/>
    <w:rsid w:val="009B0052"/>
    <w:rsid w:val="009E7BCE"/>
    <w:rsid w:val="00A164AE"/>
    <w:rsid w:val="00A46C67"/>
    <w:rsid w:val="00AE1BD5"/>
    <w:rsid w:val="00B166D0"/>
    <w:rsid w:val="00B91537"/>
    <w:rsid w:val="00BA1ECD"/>
    <w:rsid w:val="00C430BA"/>
    <w:rsid w:val="00C95ABB"/>
    <w:rsid w:val="00D06D0C"/>
    <w:rsid w:val="00D52F66"/>
    <w:rsid w:val="00D54C26"/>
    <w:rsid w:val="00E80514"/>
    <w:rsid w:val="00EB4E01"/>
    <w:rsid w:val="00F077A3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6AE1-ACB2-404B-8DC1-4F231D1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9A8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8519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519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519A8"/>
    <w:rPr>
      <w:lang w:val="en-US"/>
    </w:rPr>
  </w:style>
  <w:style w:type="character" w:customStyle="1" w:styleId="apple-converted-space">
    <w:name w:val="apple-converted-space"/>
    <w:basedOn w:val="a0"/>
    <w:rsid w:val="008519A8"/>
  </w:style>
  <w:style w:type="paragraph" w:styleId="a7">
    <w:name w:val="List Paragraph"/>
    <w:basedOn w:val="a"/>
    <w:uiPriority w:val="34"/>
    <w:qFormat/>
    <w:rsid w:val="008519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4E0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4C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C26"/>
    <w:rPr>
      <w:rFonts w:ascii="Segoe UI" w:eastAsia="Times New Roman" w:hAnsi="Segoe UI" w:cs="Segoe UI"/>
      <w:sz w:val="18"/>
      <w:szCs w:val="18"/>
      <w:lang w:val="ro-RO" w:eastAsia="ru-RU"/>
    </w:rPr>
  </w:style>
  <w:style w:type="character" w:styleId="ab">
    <w:name w:val="Strong"/>
    <w:basedOn w:val="a0"/>
    <w:uiPriority w:val="22"/>
    <w:qFormat/>
    <w:rsid w:val="00AE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ice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IC. Chetrean</dc:creator>
  <cp:keywords/>
  <dc:description/>
  <cp:lastModifiedBy>Ina IC. Chetrean</cp:lastModifiedBy>
  <cp:revision>13</cp:revision>
  <cp:lastPrinted>2018-07-20T06:18:00Z</cp:lastPrinted>
  <dcterms:created xsi:type="dcterms:W3CDTF">2018-04-25T07:07:00Z</dcterms:created>
  <dcterms:modified xsi:type="dcterms:W3CDTF">2018-07-20T06:19:00Z</dcterms:modified>
</cp:coreProperties>
</file>