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4B" w:rsidRPr="003C4B6F" w:rsidRDefault="0088144B" w:rsidP="0088144B">
      <w:pPr>
        <w:jc w:val="right"/>
        <w:rPr>
          <w:rFonts w:ascii="Times New Roman" w:hAnsi="Times New Roman"/>
          <w:i/>
        </w:rPr>
      </w:pPr>
      <w:proofErr w:type="spellStart"/>
      <w:r w:rsidRPr="003C4B6F">
        <w:rPr>
          <w:rFonts w:ascii="Times New Roman" w:hAnsi="Times New Roman"/>
          <w:i/>
        </w:rPr>
        <w:t>Proiect</w:t>
      </w:r>
      <w:proofErr w:type="spellEnd"/>
    </w:p>
    <w:p w:rsidR="0088144B" w:rsidRDefault="0088144B" w:rsidP="0088144B"/>
    <w:p w:rsidR="0088144B" w:rsidRDefault="0088144B" w:rsidP="0088144B"/>
    <w:p w:rsidR="0088144B" w:rsidRDefault="0088144B" w:rsidP="0088144B"/>
    <w:tbl>
      <w:tblPr>
        <w:tblW w:w="5144" w:type="pct"/>
        <w:tblCellSpacing w:w="75" w:type="dxa"/>
        <w:tblInd w:w="-285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0242"/>
      </w:tblGrid>
      <w:tr w:rsidR="0088144B" w:rsidRPr="00C66D5F" w:rsidTr="00EA2E06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144B" w:rsidRPr="00606ECF" w:rsidRDefault="0088144B" w:rsidP="00EA2E06">
            <w:pPr>
              <w:ind w:left="0" w:right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88144B" w:rsidRPr="00C66D5F" w:rsidTr="00EA2E06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144B" w:rsidRPr="00606ECF" w:rsidRDefault="0088144B" w:rsidP="0068523F">
            <w:pPr>
              <w:spacing w:line="360" w:lineRule="auto"/>
              <w:ind w:left="142" w:right="0" w:firstLine="14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606E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LEGE</w:t>
            </w:r>
            <w:r w:rsidRPr="00606EC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88144B" w:rsidRPr="00C66D5F" w:rsidTr="00EA2E06">
        <w:trPr>
          <w:tblCellSpacing w:w="7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144B" w:rsidRDefault="0088144B" w:rsidP="0068523F">
            <w:pPr>
              <w:spacing w:line="360" w:lineRule="auto"/>
              <w:ind w:left="142" w:right="0" w:firstLine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06E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pentru</w:t>
            </w:r>
            <w:proofErr w:type="spellEnd"/>
            <w:proofErr w:type="gramEnd"/>
            <w:r w:rsidRPr="00606E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6E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modificarea</w:t>
            </w:r>
            <w:proofErr w:type="spellEnd"/>
            <w:r w:rsidRPr="00606EC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7B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şi</w:t>
            </w:r>
            <w:proofErr w:type="spellEnd"/>
            <w:r w:rsidR="00967B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67B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completare</w:t>
            </w:r>
            <w:r w:rsidR="0049183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a</w:t>
            </w:r>
            <w:proofErr w:type="spellEnd"/>
            <w:r w:rsidR="00967B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Legii</w:t>
            </w:r>
            <w:proofErr w:type="spellEnd"/>
            <w:r w:rsidRPr="00F01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nr.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198-XVI</w:t>
            </w:r>
            <w:r w:rsidRPr="00F01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din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F01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iulie</w:t>
            </w:r>
            <w:proofErr w:type="spellEnd"/>
            <w:r w:rsidRPr="00F01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2007</w:t>
            </w:r>
            <w:r w:rsidRPr="00F015D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cu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privire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la </w:t>
            </w:r>
          </w:p>
          <w:p w:rsidR="0088144B" w:rsidRPr="003C4B6F" w:rsidRDefault="0088144B" w:rsidP="0068523F">
            <w:pPr>
              <w:spacing w:line="360" w:lineRule="auto"/>
              <w:ind w:left="142" w:right="0" w:firstLine="14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asistenţa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juridică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garantată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de stat</w:t>
            </w:r>
          </w:p>
        </w:tc>
      </w:tr>
    </w:tbl>
    <w:p w:rsidR="00C057E0" w:rsidRDefault="00C057E0"/>
    <w:p w:rsidR="0088144B" w:rsidRDefault="0088144B"/>
    <w:p w:rsidR="0088144B" w:rsidRDefault="0088144B" w:rsidP="0068523F">
      <w:pPr>
        <w:spacing w:line="360" w:lineRule="auto"/>
        <w:ind w:left="0" w:right="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606E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Parlamentul</w:t>
      </w:r>
      <w:proofErr w:type="spellEnd"/>
      <w:r w:rsidRPr="00606E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6E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adoptă</w:t>
      </w:r>
      <w:proofErr w:type="spellEnd"/>
      <w:r w:rsidRPr="00606E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6E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prezenta</w:t>
      </w:r>
      <w:proofErr w:type="spellEnd"/>
      <w:r w:rsidRPr="00606E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6E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lege</w:t>
      </w:r>
      <w:proofErr w:type="spellEnd"/>
      <w:r w:rsidRPr="00606E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06E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organică</w:t>
      </w:r>
      <w:proofErr w:type="spellEnd"/>
      <w:r w:rsidRPr="00606E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606E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proofErr w:type="spellStart"/>
      <w:r w:rsidRPr="00606EC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Art</w:t>
      </w:r>
      <w:r w:rsidRPr="000E03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icol</w:t>
      </w:r>
      <w:proofErr w:type="spellEnd"/>
      <w:r w:rsidRPr="000E03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E03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unic</w:t>
      </w:r>
      <w:proofErr w:type="spellEnd"/>
      <w:r w:rsidRPr="000E033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06E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Legea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nr.198-XVI din 26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iulie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2007 cu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privire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asistenţa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juridică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garantată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de stat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Monitorul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Oficial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al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Republicii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Moldova, 2007, nr. 157-160, art.614), cu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modificările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ulterioare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se </w:t>
      </w:r>
      <w:proofErr w:type="spellStart"/>
      <w:r w:rsidR="00967B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modifică</w:t>
      </w:r>
      <w:proofErr w:type="spellEnd"/>
      <w:r w:rsidR="00967B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67B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şi</w:t>
      </w:r>
      <w:proofErr w:type="spellEnd"/>
      <w:r w:rsidR="00967B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completează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după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cum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urmează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88144B" w:rsidRDefault="0088144B" w:rsidP="0068523F">
      <w:pPr>
        <w:spacing w:line="360" w:lineRule="auto"/>
        <w:ind w:left="0" w:right="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Articolul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7 se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completează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cu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litera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e</w:t>
      </w:r>
      <w:r w:rsidRPr="00EA37A3">
        <w:rPr>
          <w:rStyle w:val="apple-style-span"/>
          <w:rFonts w:ascii="Times New Roman" w:hAnsi="Times New Roman"/>
          <w:b/>
          <w:bCs/>
          <w:color w:val="000000"/>
          <w:sz w:val="18"/>
          <w:szCs w:val="18"/>
          <w:vertAlign w:val="superscript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cu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următorul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cuprins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A37A3" w:rsidRDefault="00EA37A3" w:rsidP="0068523F">
      <w:pPr>
        <w:spacing w:line="360" w:lineRule="auto"/>
        <w:ind w:left="0" w:right="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„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</w:t>
      </w:r>
      <w:r w:rsidRPr="0088144B">
        <w:rPr>
          <w:rStyle w:val="apple-style-span"/>
          <w:b/>
          <w:bCs/>
          <w:color w:val="000000"/>
        </w:rPr>
        <w:t xml:space="preserve"> </w:t>
      </w:r>
      <w:r w:rsidRPr="00EA37A3">
        <w:rPr>
          <w:rStyle w:val="apple-style-span"/>
          <w:rFonts w:ascii="Times New Roman" w:hAnsi="Times New Roman"/>
          <w:b/>
          <w:bCs/>
          <w:color w:val="000000"/>
          <w:sz w:val="18"/>
          <w:szCs w:val="18"/>
          <w:vertAlign w:val="superscript"/>
        </w:rPr>
        <w:t>1</w:t>
      </w:r>
      <w:r>
        <w:rPr>
          <w:rStyle w:val="apple-style-span"/>
          <w:rFonts w:ascii="Times New Roman" w:hAnsi="Times New Roman"/>
          <w:b/>
          <w:bCs/>
          <w:color w:val="000000"/>
          <w:vertAlign w:val="superscript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apărare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şi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reprezentare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intereselor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copiilor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victime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ale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infracţiunilor</w:t>
      </w:r>
      <w:proofErr w:type="spellEnd"/>
      <w:r w:rsidR="00967B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”</w:t>
      </w:r>
    </w:p>
    <w:p w:rsidR="00A643DD" w:rsidRDefault="00A643DD" w:rsidP="0068523F">
      <w:pPr>
        <w:spacing w:line="360" w:lineRule="auto"/>
        <w:ind w:left="0" w:right="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Articolul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19 se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completează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cu</w:t>
      </w:r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alineatul</w:t>
      </w:r>
      <w:proofErr w:type="spellEnd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(1</w:t>
      </w:r>
      <w:r w:rsidR="003E6FBA" w:rsidRPr="00EA37A3">
        <w:rPr>
          <w:rStyle w:val="apple-style-span"/>
          <w:rFonts w:ascii="Times New Roman" w:hAnsi="Times New Roman"/>
          <w:b/>
          <w:bCs/>
          <w:color w:val="000000"/>
          <w:sz w:val="18"/>
          <w:szCs w:val="18"/>
          <w:vertAlign w:val="superscript"/>
        </w:rPr>
        <w:t>1</w:t>
      </w:r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următorul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cuprins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643DD" w:rsidRDefault="0068523F" w:rsidP="0068523F">
      <w:pPr>
        <w:spacing w:line="360" w:lineRule="auto"/>
        <w:ind w:left="0" w:right="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„</w:t>
      </w:r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(1</w:t>
      </w:r>
      <w:r w:rsidR="003E6FBA" w:rsidRPr="00EA37A3">
        <w:rPr>
          <w:rStyle w:val="apple-style-span"/>
          <w:rFonts w:ascii="Times New Roman" w:hAnsi="Times New Roman"/>
          <w:b/>
          <w:bCs/>
          <w:color w:val="000000"/>
          <w:sz w:val="18"/>
          <w:szCs w:val="18"/>
          <w:vertAlign w:val="superscript"/>
        </w:rPr>
        <w:t>1</w:t>
      </w:r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Au </w:t>
      </w:r>
      <w:proofErr w:type="spellStart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dreptul</w:t>
      </w:r>
      <w:proofErr w:type="spellEnd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asistenţă</w:t>
      </w:r>
      <w:proofErr w:type="spellEnd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juridică</w:t>
      </w:r>
      <w:proofErr w:type="spellEnd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calificată</w:t>
      </w:r>
      <w:proofErr w:type="spellEnd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şi</w:t>
      </w:r>
      <w:proofErr w:type="spellEnd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copiii</w:t>
      </w:r>
      <w:proofErr w:type="spellEnd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victime</w:t>
      </w:r>
      <w:proofErr w:type="spellEnd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ale </w:t>
      </w:r>
      <w:proofErr w:type="spellStart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infracţiunilor</w:t>
      </w:r>
      <w:proofErr w:type="spellEnd"/>
      <w:r w:rsidR="00D05F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”</w:t>
      </w:r>
    </w:p>
    <w:p w:rsidR="00D05F7D" w:rsidRDefault="00D05F7D" w:rsidP="0068523F">
      <w:pPr>
        <w:spacing w:line="360" w:lineRule="auto"/>
        <w:ind w:left="0" w:right="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</w:t>
      </w:r>
      <w:r w:rsidR="00967B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La </w:t>
      </w:r>
      <w:proofErr w:type="spellStart"/>
      <w:r w:rsidR="00967B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articolul</w:t>
      </w:r>
      <w:proofErr w:type="spellEnd"/>
      <w:r w:rsidR="00967B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20, </w:t>
      </w:r>
      <w:proofErr w:type="spellStart"/>
      <w:r w:rsidR="00967B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litera</w:t>
      </w:r>
      <w:proofErr w:type="spellEnd"/>
      <w:r w:rsidR="00967B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a), </w:t>
      </w:r>
      <w:proofErr w:type="spellStart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după</w:t>
      </w:r>
      <w:proofErr w:type="spellEnd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132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sintagma</w:t>
      </w:r>
      <w:proofErr w:type="spellEnd"/>
      <w:r w:rsidR="00A132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132DA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„</w:t>
      </w:r>
      <w:r w:rsidR="003E6FBA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lit. </w:t>
      </w:r>
      <w:r w:rsidR="00A132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b)-</w:t>
      </w:r>
      <w:r w:rsidR="00967B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d)” se </w:t>
      </w:r>
      <w:proofErr w:type="spellStart"/>
      <w:r w:rsidR="00145C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completea</w:t>
      </w:r>
      <w:proofErr w:type="spellEnd"/>
      <w:r w:rsidR="00145C1B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ză cu</w:t>
      </w:r>
      <w:r w:rsidR="00967B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132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sintagma</w:t>
      </w:r>
      <w:proofErr w:type="spellEnd"/>
      <w:r w:rsidR="00A132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132DA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„</w:t>
      </w:r>
      <w:r w:rsidR="003E6FBA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şi alin</w:t>
      </w:r>
      <w:proofErr w:type="gramStart"/>
      <w:r w:rsidR="003E6FBA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.</w:t>
      </w:r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gramEnd"/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3E6FBA" w:rsidRPr="00EA37A3">
        <w:rPr>
          <w:rStyle w:val="apple-style-span"/>
          <w:rFonts w:ascii="Times New Roman" w:hAnsi="Times New Roman"/>
          <w:b/>
          <w:bCs/>
          <w:color w:val="000000"/>
          <w:sz w:val="18"/>
          <w:szCs w:val="18"/>
          <w:vertAlign w:val="superscript"/>
        </w:rPr>
        <w:t>1</w:t>
      </w:r>
      <w:r w:rsidR="003E6FB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3E6FBA"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 xml:space="preserve"> </w:t>
      </w:r>
      <w:r w:rsidR="00967B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”.</w:t>
      </w:r>
    </w:p>
    <w:p w:rsidR="0068523F" w:rsidRDefault="00DD7CA2" w:rsidP="0068523F">
      <w:pPr>
        <w:spacing w:line="360" w:lineRule="auto"/>
        <w:ind w:left="0" w:right="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6852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6852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Articolul</w:t>
      </w:r>
      <w:proofErr w:type="spellEnd"/>
      <w:r w:rsidR="006852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26 se </w:t>
      </w:r>
      <w:proofErr w:type="spellStart"/>
      <w:r w:rsidR="006852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completează</w:t>
      </w:r>
      <w:proofErr w:type="spellEnd"/>
      <w:r w:rsidR="006852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cu </w:t>
      </w:r>
      <w:proofErr w:type="spellStart"/>
      <w:r w:rsidR="006852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alineatul</w:t>
      </w:r>
      <w:proofErr w:type="spellEnd"/>
      <w:r w:rsidR="006852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6852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68523F" w:rsidRPr="00EA37A3">
        <w:rPr>
          <w:rStyle w:val="apple-style-span"/>
          <w:rFonts w:ascii="Times New Roman" w:hAnsi="Times New Roman"/>
          <w:b/>
          <w:bCs/>
          <w:color w:val="000000"/>
          <w:sz w:val="18"/>
          <w:szCs w:val="18"/>
          <w:vertAlign w:val="superscript"/>
        </w:rPr>
        <w:t>1</w:t>
      </w:r>
      <w:r w:rsidR="0068523F">
        <w:rPr>
          <w:rStyle w:val="apple-style-span"/>
          <w:rFonts w:ascii="Times New Roman" w:hAnsi="Times New Roman"/>
          <w:b/>
          <w:bCs/>
          <w:color w:val="000000"/>
          <w:vertAlign w:val="superscript"/>
        </w:rPr>
        <w:t xml:space="preserve"> </w:t>
      </w:r>
      <w:r w:rsidR="006852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gramEnd"/>
      <w:r w:rsidR="006852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cu </w:t>
      </w:r>
      <w:proofErr w:type="spellStart"/>
      <w:r w:rsidR="006852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următorul</w:t>
      </w:r>
      <w:proofErr w:type="spellEnd"/>
      <w:r w:rsidR="006852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852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cuprins</w:t>
      </w:r>
      <w:proofErr w:type="spellEnd"/>
      <w:r w:rsidR="0068523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68523F" w:rsidRDefault="0068523F" w:rsidP="0068523F">
      <w:pPr>
        <w:spacing w:line="360" w:lineRule="auto"/>
        <w:ind w:left="0" w:right="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„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(3</w:t>
      </w:r>
      <w:r w:rsidRPr="00EA37A3">
        <w:rPr>
          <w:rStyle w:val="apple-style-span"/>
          <w:rFonts w:ascii="Times New Roman" w:hAnsi="Times New Roman"/>
          <w:b/>
          <w:bCs/>
          <w:color w:val="000000"/>
          <w:sz w:val="18"/>
          <w:szCs w:val="18"/>
          <w:vertAlign w:val="superscript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cazul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prevăzut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de art. </w:t>
      </w:r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19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alin</w:t>
      </w:r>
      <w:proofErr w:type="spellEnd"/>
      <w:proofErr w:type="gram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009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gram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8009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lit. d</w:t>
      </w:r>
      <w:r w:rsidR="00104F1E" w:rsidRPr="00EA37A3">
        <w:rPr>
          <w:rStyle w:val="apple-style-span"/>
          <w:rFonts w:ascii="Times New Roman" w:hAnsi="Times New Roman"/>
          <w:b/>
          <w:bCs/>
          <w:color w:val="000000"/>
          <w:sz w:val="18"/>
          <w:szCs w:val="18"/>
          <w:vertAlign w:val="superscript"/>
        </w:rPr>
        <w:t>1</w:t>
      </w:r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copilul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victim</w:t>
      </w:r>
      <w:r w:rsidR="00CA450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ă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</w:t>
      </w:r>
      <w:proofErr w:type="gram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infracţiunii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reprezentantul</w:t>
      </w:r>
      <w:proofErr w:type="spellEnd"/>
      <w:r w:rsidR="008009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legal al </w:t>
      </w:r>
      <w:proofErr w:type="spellStart"/>
      <w:r w:rsidR="008009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acestuia</w:t>
      </w:r>
      <w:proofErr w:type="spellEnd"/>
      <w:r w:rsidR="008009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pot</w:t>
      </w:r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să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depună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cerere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oficiul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teritorial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la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organul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urmărire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penală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instanţa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judecătorească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Organul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urmărire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penală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instanţa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judecătorească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va</w:t>
      </w:r>
      <w:proofErr w:type="spellEnd"/>
      <w:proofErr w:type="gram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remite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oficiului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teritorial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cel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mult</w:t>
      </w:r>
      <w:proofErr w:type="spellEnd"/>
      <w:r w:rsidR="00104F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zile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lucrătoare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de la data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recepţionării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cererea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şi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documentele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anexate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Decizia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acordare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</w:t>
      </w:r>
      <w:proofErr w:type="gram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asistenţei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juridice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calificate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se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emite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de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către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coordonatorul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oficiului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teritorial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şi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se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aduce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cunoştinţa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solicitantului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cel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mult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zile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lucrătoare</w:t>
      </w:r>
      <w:proofErr w:type="spellEnd"/>
      <w:r w:rsidR="0049183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.”</w:t>
      </w:r>
    </w:p>
    <w:p w:rsidR="00CA450F" w:rsidRDefault="00DD7CA2" w:rsidP="0068523F">
      <w:pPr>
        <w:spacing w:line="360" w:lineRule="auto"/>
        <w:ind w:left="0" w:right="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La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articolul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28,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alineatul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(1)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după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sintagma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„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organului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care 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efectuat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reţinerea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” se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completează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cu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sintagma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  <w:lang w:val="ro-RO" w:eastAsia="ru-RU"/>
        </w:rPr>
        <w:t>„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şi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în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conformitate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cu art.19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alin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.(1</w:t>
      </w:r>
      <w:r w:rsidR="003E6FBA" w:rsidRPr="00EA37A3">
        <w:rPr>
          <w:rStyle w:val="apple-style-span"/>
          <w:rFonts w:ascii="Times New Roman" w:hAnsi="Times New Roman"/>
          <w:b/>
          <w:bCs/>
          <w:color w:val="000000"/>
          <w:sz w:val="18"/>
          <w:szCs w:val="18"/>
          <w:vertAlign w:val="superscript"/>
        </w:rPr>
        <w:t>1</w:t>
      </w:r>
      <w:r w:rsidR="00145C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la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solicitarea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copilului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victimă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infracţiunii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sau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a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reprezentantului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legal al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acestuia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”</w:t>
      </w:r>
    </w:p>
    <w:p w:rsidR="00CA450F" w:rsidRDefault="00CA450F" w:rsidP="0068523F">
      <w:pPr>
        <w:spacing w:line="360" w:lineRule="auto"/>
        <w:ind w:left="0" w:right="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D7CA2" w:rsidRDefault="00DD7CA2" w:rsidP="0068523F">
      <w:pPr>
        <w:spacing w:line="360" w:lineRule="auto"/>
        <w:ind w:left="0" w:right="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A450F" w:rsidRDefault="00CA450F" w:rsidP="00CA450F">
      <w:pPr>
        <w:spacing w:line="360" w:lineRule="auto"/>
        <w:ind w:left="0" w:right="0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PREŞEDINTELE PARLAMENTULUI</w:t>
      </w:r>
    </w:p>
    <w:sectPr w:rsidR="00CA450F" w:rsidSect="00C0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144B"/>
    <w:rsid w:val="00104F1E"/>
    <w:rsid w:val="00145C1B"/>
    <w:rsid w:val="002703FC"/>
    <w:rsid w:val="00331CA8"/>
    <w:rsid w:val="003E41C2"/>
    <w:rsid w:val="003E6FBA"/>
    <w:rsid w:val="004569DD"/>
    <w:rsid w:val="00491839"/>
    <w:rsid w:val="0068523F"/>
    <w:rsid w:val="00800986"/>
    <w:rsid w:val="00813900"/>
    <w:rsid w:val="00813B9E"/>
    <w:rsid w:val="0082305D"/>
    <w:rsid w:val="0088144B"/>
    <w:rsid w:val="008815D6"/>
    <w:rsid w:val="008D3D7F"/>
    <w:rsid w:val="00967B4B"/>
    <w:rsid w:val="00A132DA"/>
    <w:rsid w:val="00A643DD"/>
    <w:rsid w:val="00AA414F"/>
    <w:rsid w:val="00B44280"/>
    <w:rsid w:val="00C057E0"/>
    <w:rsid w:val="00C8181B"/>
    <w:rsid w:val="00CA450F"/>
    <w:rsid w:val="00D05F7D"/>
    <w:rsid w:val="00D9423E"/>
    <w:rsid w:val="00DD7CA2"/>
    <w:rsid w:val="00EA37A3"/>
    <w:rsid w:val="00F2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right="-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44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814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210C</dc:creator>
  <cp:lastModifiedBy>bucsanu</cp:lastModifiedBy>
  <cp:revision>2</cp:revision>
  <cp:lastPrinted>2013-02-22T12:33:00Z</cp:lastPrinted>
  <dcterms:created xsi:type="dcterms:W3CDTF">2013-02-27T13:45:00Z</dcterms:created>
  <dcterms:modified xsi:type="dcterms:W3CDTF">2013-02-27T13:45:00Z</dcterms:modified>
</cp:coreProperties>
</file>