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97" w:rsidRPr="00441292" w:rsidRDefault="00C44797" w:rsidP="00C44797">
      <w:pPr>
        <w:jc w:val="center"/>
        <w:rPr>
          <w:b/>
          <w:sz w:val="28"/>
          <w:szCs w:val="28"/>
          <w:lang w:val="ro-RO"/>
        </w:rPr>
      </w:pPr>
      <w:r w:rsidRPr="00441292">
        <w:rPr>
          <w:b/>
          <w:sz w:val="28"/>
          <w:szCs w:val="28"/>
          <w:lang w:val="ro-RO"/>
        </w:rPr>
        <w:t>NOTĂ INFORMATIVĂ</w:t>
      </w:r>
    </w:p>
    <w:p w:rsidR="00C44797" w:rsidRPr="00441292" w:rsidRDefault="00C44797" w:rsidP="00C44797">
      <w:pPr>
        <w:jc w:val="center"/>
        <w:rPr>
          <w:b/>
          <w:sz w:val="28"/>
          <w:szCs w:val="28"/>
          <w:lang w:val="ro-RO"/>
        </w:rPr>
      </w:pPr>
      <w:r w:rsidRPr="00441292">
        <w:rPr>
          <w:b/>
          <w:sz w:val="28"/>
          <w:szCs w:val="28"/>
          <w:lang w:val="ro-RO"/>
        </w:rPr>
        <w:t>la proiectul Legii privind importul un</w:t>
      </w:r>
      <w:r>
        <w:rPr>
          <w:b/>
          <w:sz w:val="28"/>
          <w:szCs w:val="28"/>
          <w:lang w:val="ro-RO"/>
        </w:rPr>
        <w:t>or</w:t>
      </w:r>
      <w:r w:rsidRPr="00441292">
        <w:rPr>
          <w:b/>
          <w:sz w:val="28"/>
          <w:szCs w:val="28"/>
          <w:lang w:val="ro-RO"/>
        </w:rPr>
        <w:t xml:space="preserve"> autovehicul</w:t>
      </w:r>
      <w:r>
        <w:rPr>
          <w:b/>
          <w:sz w:val="28"/>
          <w:szCs w:val="28"/>
          <w:lang w:val="ro-RO"/>
        </w:rPr>
        <w:t>e</w:t>
      </w:r>
    </w:p>
    <w:p w:rsidR="00C44797" w:rsidRPr="00441292" w:rsidRDefault="00C44797" w:rsidP="00C44797">
      <w:pPr>
        <w:jc w:val="center"/>
        <w:rPr>
          <w:b/>
          <w:sz w:val="28"/>
          <w:szCs w:val="28"/>
          <w:lang w:val="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0"/>
      </w:tblGrid>
      <w:tr w:rsidR="00C44797" w:rsidRPr="00441292" w:rsidTr="00B51D05">
        <w:tc>
          <w:tcPr>
            <w:tcW w:w="9720" w:type="dxa"/>
            <w:shd w:val="pct15" w:color="auto" w:fill="auto"/>
          </w:tcPr>
          <w:p w:rsidR="00C44797" w:rsidRPr="00441292" w:rsidRDefault="00C44797" w:rsidP="00B51D05">
            <w:pPr>
              <w:pStyle w:val="ListParagraph"/>
              <w:numPr>
                <w:ilvl w:val="0"/>
                <w:numId w:val="1"/>
              </w:numPr>
              <w:tabs>
                <w:tab w:val="left" w:pos="270"/>
              </w:tabs>
              <w:spacing w:after="0" w:line="240" w:lineRule="auto"/>
              <w:ind w:left="0" w:firstLine="0"/>
              <w:jc w:val="both"/>
              <w:rPr>
                <w:rFonts w:ascii="Times New Roman" w:hAnsi="Times New Roman"/>
                <w:b/>
                <w:sz w:val="26"/>
                <w:szCs w:val="26"/>
                <w:lang w:val="ro-RO"/>
              </w:rPr>
            </w:pPr>
            <w:r w:rsidRPr="00441292">
              <w:rPr>
                <w:rFonts w:ascii="Times New Roman" w:hAnsi="Times New Roman"/>
                <w:b/>
                <w:sz w:val="26"/>
                <w:szCs w:val="26"/>
                <w:lang w:val="ro-RO"/>
              </w:rPr>
              <w:t>Condiţiile ce au impus elaborarea proiectului şi finalităţile urmărite</w:t>
            </w:r>
          </w:p>
          <w:p w:rsidR="00C44797" w:rsidRPr="00441292" w:rsidRDefault="00C44797" w:rsidP="00B51D05">
            <w:pPr>
              <w:pStyle w:val="ListParagraph"/>
              <w:tabs>
                <w:tab w:val="left" w:pos="270"/>
              </w:tabs>
              <w:spacing w:after="0" w:line="240" w:lineRule="auto"/>
              <w:ind w:left="0"/>
              <w:jc w:val="both"/>
              <w:rPr>
                <w:rFonts w:ascii="Times New Roman" w:hAnsi="Times New Roman"/>
                <w:b/>
                <w:sz w:val="26"/>
                <w:szCs w:val="26"/>
                <w:lang w:val="ro-RO"/>
              </w:rPr>
            </w:pPr>
          </w:p>
        </w:tc>
      </w:tr>
      <w:tr w:rsidR="00C44797" w:rsidRPr="00441292" w:rsidTr="00B51D05">
        <w:trPr>
          <w:trHeight w:val="163"/>
        </w:trPr>
        <w:tc>
          <w:tcPr>
            <w:tcW w:w="9720" w:type="dxa"/>
            <w:tcBorders>
              <w:bottom w:val="single" w:sz="4" w:space="0" w:color="auto"/>
            </w:tcBorders>
          </w:tcPr>
          <w:p w:rsidR="00C44797" w:rsidRPr="002B7541" w:rsidRDefault="00C44797" w:rsidP="00B51D05">
            <w:pPr>
              <w:spacing w:before="120" w:after="120"/>
              <w:jc w:val="both"/>
              <w:rPr>
                <w:sz w:val="26"/>
                <w:szCs w:val="26"/>
                <w:lang w:val="ro-RO"/>
              </w:rPr>
            </w:pPr>
            <w:r w:rsidRPr="002B7541">
              <w:rPr>
                <w:sz w:val="26"/>
                <w:szCs w:val="26"/>
                <w:lang w:val="ro-RO"/>
              </w:rPr>
              <w:t xml:space="preserve">Departamentul Instituţiilor Penitenciare este organul central de specialitate, cu statut de subdiviziune independentă, subordonat Ministerului Justiţiei, care exercită conducerea, coordonarea şi controlul asupra realizării politicii de stat în domeniul punerii în executare a pedepselor penale privative de libertate, măsurii arestului preventiv, sancţiunii arestului contravenţional, precum şi a măsurilor de siguranţă aplicate deţinuţilor. </w:t>
            </w:r>
          </w:p>
          <w:p w:rsidR="00C44797" w:rsidRDefault="00C44797" w:rsidP="00B51D05">
            <w:pPr>
              <w:spacing w:before="120" w:after="120"/>
              <w:jc w:val="both"/>
              <w:rPr>
                <w:sz w:val="26"/>
                <w:szCs w:val="26"/>
                <w:lang w:val="ro-RO"/>
              </w:rPr>
            </w:pPr>
            <w:r w:rsidRPr="002B7541">
              <w:rPr>
                <w:sz w:val="26"/>
                <w:szCs w:val="26"/>
                <w:lang w:val="ro-RO"/>
              </w:rPr>
              <w:t xml:space="preserve">În realizarea funcțiilor prevăzute la pct. 7 din Regulamentul său de activitate, aprobat prin Hotărîrea Guvernului nr. 1310 din 24 noiembrie 2008, Departamentul Instituţiilor Penitenciare coordonează activitatea de supraveghere, pază şi </w:t>
            </w:r>
            <w:r w:rsidRPr="00614C97">
              <w:rPr>
                <w:b/>
                <w:sz w:val="26"/>
                <w:szCs w:val="26"/>
                <w:lang w:val="ro-RO"/>
              </w:rPr>
              <w:t>escortare a deţinuţilor, de prezentare a deţinuţilor în instanţele judecătoreşti, transferul acestora la organele de urmărire penală sau în alte locuri de detenţie pentru executarea pedepsei.</w:t>
            </w:r>
            <w:r w:rsidRPr="002B7541">
              <w:rPr>
                <w:sz w:val="26"/>
                <w:szCs w:val="26"/>
                <w:lang w:val="ro-RO"/>
              </w:rPr>
              <w:t xml:space="preserve"> </w:t>
            </w:r>
          </w:p>
          <w:p w:rsidR="00C44797" w:rsidRDefault="00C44797" w:rsidP="00B51D05">
            <w:pPr>
              <w:spacing w:before="120" w:after="120"/>
              <w:jc w:val="both"/>
              <w:rPr>
                <w:lang w:val="en-US"/>
              </w:rPr>
            </w:pPr>
            <w:r w:rsidRPr="002B7541">
              <w:rPr>
                <w:sz w:val="26"/>
                <w:szCs w:val="26"/>
                <w:lang w:val="ro-RO"/>
              </w:rPr>
              <w:t>Realizarea nemijlocită a acestor funcții de către serviciu</w:t>
            </w:r>
            <w:r>
              <w:rPr>
                <w:sz w:val="26"/>
                <w:szCs w:val="26"/>
                <w:lang w:val="ro-RO"/>
              </w:rPr>
              <w:t>l</w:t>
            </w:r>
            <w:r w:rsidRPr="002B7541">
              <w:rPr>
                <w:sz w:val="26"/>
                <w:szCs w:val="26"/>
                <w:lang w:val="ro-RO"/>
              </w:rPr>
              <w:t xml:space="preserve"> specializat, aflat în subordinea Departamentului </w:t>
            </w:r>
            <w:r>
              <w:rPr>
                <w:sz w:val="26"/>
                <w:szCs w:val="26"/>
                <w:lang w:val="ro-RO"/>
              </w:rPr>
              <w:t>I</w:t>
            </w:r>
            <w:r w:rsidRPr="002B7541">
              <w:rPr>
                <w:sz w:val="26"/>
                <w:szCs w:val="26"/>
                <w:lang w:val="ro-RO"/>
              </w:rPr>
              <w:t xml:space="preserve">nstituţiilor </w:t>
            </w:r>
            <w:r>
              <w:rPr>
                <w:sz w:val="26"/>
                <w:szCs w:val="26"/>
                <w:lang w:val="ro-RO"/>
              </w:rPr>
              <w:t>P</w:t>
            </w:r>
            <w:r w:rsidRPr="002B7541">
              <w:rPr>
                <w:sz w:val="26"/>
                <w:szCs w:val="26"/>
                <w:lang w:val="ro-RO"/>
              </w:rPr>
              <w:t>enitenciare (art. 4 din Legea nr. 1036 din 17 decembrie 1996 cu privire la sistemul penitenciar)</w:t>
            </w:r>
            <w:r>
              <w:rPr>
                <w:sz w:val="26"/>
                <w:szCs w:val="26"/>
                <w:lang w:val="ro-RO"/>
              </w:rPr>
              <w:t>, este dificilă în lipsa dotărilor cu autospeciale destinate escortării deținuților.</w:t>
            </w:r>
          </w:p>
          <w:p w:rsidR="00C44797" w:rsidRDefault="00C44797" w:rsidP="00B51D05">
            <w:pPr>
              <w:spacing w:before="120" w:after="120"/>
              <w:jc w:val="both"/>
              <w:rPr>
                <w:sz w:val="26"/>
                <w:szCs w:val="26"/>
                <w:lang w:val="ro-RO"/>
              </w:rPr>
            </w:pPr>
            <w:r w:rsidRPr="00441292">
              <w:rPr>
                <w:sz w:val="26"/>
                <w:szCs w:val="26"/>
                <w:lang w:val="ro-RO"/>
              </w:rPr>
              <w:t xml:space="preserve">Actualmente </w:t>
            </w:r>
            <w:r w:rsidRPr="00511EE8">
              <w:rPr>
                <w:b/>
                <w:sz w:val="26"/>
                <w:szCs w:val="26"/>
                <w:lang w:val="ro-RO"/>
              </w:rPr>
              <w:t>autoturismele posedate de către Departamentul Instituțiilor Penitenciare</w:t>
            </w:r>
            <w:r w:rsidRPr="00441292">
              <w:rPr>
                <w:sz w:val="26"/>
                <w:szCs w:val="26"/>
                <w:lang w:val="ro-RO"/>
              </w:rPr>
              <w:t xml:space="preserve"> sunt majoritate</w:t>
            </w:r>
            <w:r>
              <w:rPr>
                <w:sz w:val="26"/>
                <w:szCs w:val="26"/>
                <w:lang w:val="ro-RO"/>
              </w:rPr>
              <w:t>a</w:t>
            </w:r>
            <w:r w:rsidRPr="00441292">
              <w:rPr>
                <w:sz w:val="26"/>
                <w:szCs w:val="26"/>
                <w:lang w:val="ro-RO"/>
              </w:rPr>
              <w:t xml:space="preserve"> vechi</w:t>
            </w:r>
            <w:r>
              <w:rPr>
                <w:sz w:val="26"/>
                <w:szCs w:val="26"/>
                <w:lang w:val="ro-RO"/>
              </w:rPr>
              <w:t xml:space="preserve"> (anii 70-80-90)</w:t>
            </w:r>
            <w:r w:rsidRPr="00441292">
              <w:rPr>
                <w:sz w:val="26"/>
                <w:szCs w:val="26"/>
                <w:lang w:val="ro-RO"/>
              </w:rPr>
              <w:t>, prezentînd un grad sporit de uzură</w:t>
            </w:r>
            <w:r>
              <w:rPr>
                <w:sz w:val="26"/>
                <w:szCs w:val="26"/>
                <w:lang w:val="ro-RO"/>
              </w:rPr>
              <w:t xml:space="preserve">, iar numărul acestora se dovidește a fi uneori insuficient. Conform datelor statistice, la 1 februarie curent în instituțiile penitenciare se dețineau 5 209 condamnați și 1 393 preveniți (numărul preveniților variază continuu). Anual, în sistemul penitenciar, există un flux de 12 mii de intrări/ieșiri a deținuților. Respectiv, 12 autospeciale de care dispune sistemul penitenciar cu greu fac față solicitărilor, în special în cazul defectării unora dintre acestea. </w:t>
            </w:r>
          </w:p>
          <w:p w:rsidR="00C44797" w:rsidRPr="00511EE8" w:rsidRDefault="00C44797" w:rsidP="00B51D05">
            <w:pPr>
              <w:spacing w:before="120" w:after="120"/>
              <w:jc w:val="both"/>
              <w:rPr>
                <w:b/>
                <w:sz w:val="26"/>
                <w:szCs w:val="26"/>
                <w:lang w:val="ro-RO"/>
              </w:rPr>
            </w:pPr>
            <w:r>
              <w:rPr>
                <w:sz w:val="26"/>
                <w:szCs w:val="26"/>
                <w:lang w:val="ro-RO"/>
              </w:rPr>
              <w:t xml:space="preserve">Ca urmare a </w:t>
            </w:r>
            <w:r w:rsidRPr="00441292">
              <w:rPr>
                <w:sz w:val="26"/>
                <w:szCs w:val="26"/>
                <w:lang w:val="ro-RO"/>
              </w:rPr>
              <w:t xml:space="preserve">negocierilor purtate cu Administrația Națională a Penitenciarelor din România, </w:t>
            </w:r>
            <w:r w:rsidRPr="00511EE8">
              <w:rPr>
                <w:b/>
                <w:sz w:val="26"/>
                <w:szCs w:val="26"/>
                <w:lang w:val="ro-RO"/>
              </w:rPr>
              <w:t>Departamentului Instituțiilor Penitenciare i se oferă cu titlu de donație două autoturisme specializate în transportarea deținuților</w:t>
            </w:r>
            <w:r w:rsidRPr="00441292">
              <w:rPr>
                <w:sz w:val="26"/>
                <w:szCs w:val="26"/>
                <w:lang w:val="ro-RO"/>
              </w:rPr>
              <w:t xml:space="preserve">. Aceste vehicule urmează a fi </w:t>
            </w:r>
            <w:r w:rsidRPr="00511EE8">
              <w:rPr>
                <w:b/>
                <w:sz w:val="26"/>
                <w:szCs w:val="26"/>
                <w:lang w:val="ro-RO"/>
              </w:rPr>
              <w:t>oferite</w:t>
            </w:r>
            <w:r w:rsidRPr="00441292">
              <w:rPr>
                <w:sz w:val="26"/>
                <w:szCs w:val="26"/>
                <w:lang w:val="ro-RO"/>
              </w:rPr>
              <w:t xml:space="preserve"> Departamentului Instituțiilor Penitenciare </w:t>
            </w:r>
            <w:r w:rsidRPr="00511EE8">
              <w:rPr>
                <w:b/>
                <w:sz w:val="26"/>
                <w:szCs w:val="26"/>
                <w:lang w:val="ro-RO"/>
              </w:rPr>
              <w:t>de către penitenciarul din Timișoara, România.</w:t>
            </w:r>
          </w:p>
          <w:p w:rsidR="00C44797" w:rsidRPr="0054681E" w:rsidRDefault="00C44797" w:rsidP="00B51D05">
            <w:pPr>
              <w:jc w:val="both"/>
              <w:rPr>
                <w:sz w:val="16"/>
                <w:szCs w:val="16"/>
                <w:lang w:val="ro-RO"/>
              </w:rPr>
            </w:pPr>
          </w:p>
        </w:tc>
      </w:tr>
      <w:tr w:rsidR="00C44797" w:rsidRPr="00441292" w:rsidTr="00B51D05">
        <w:trPr>
          <w:trHeight w:val="228"/>
        </w:trPr>
        <w:tc>
          <w:tcPr>
            <w:tcW w:w="9720" w:type="dxa"/>
            <w:shd w:val="pct15" w:color="auto" w:fill="auto"/>
          </w:tcPr>
          <w:p w:rsidR="00C44797" w:rsidRPr="00441292" w:rsidRDefault="00C44797" w:rsidP="00C44797">
            <w:pPr>
              <w:numPr>
                <w:ilvl w:val="0"/>
                <w:numId w:val="1"/>
              </w:numPr>
              <w:tabs>
                <w:tab w:val="left" w:pos="252"/>
              </w:tabs>
              <w:spacing w:after="0" w:line="240" w:lineRule="auto"/>
              <w:ind w:left="0" w:firstLine="0"/>
              <w:jc w:val="both"/>
              <w:rPr>
                <w:b/>
                <w:sz w:val="26"/>
                <w:szCs w:val="26"/>
                <w:lang w:val="ro-RO"/>
              </w:rPr>
            </w:pPr>
            <w:r w:rsidRPr="00441292">
              <w:rPr>
                <w:b/>
                <w:sz w:val="26"/>
                <w:szCs w:val="26"/>
                <w:lang w:val="ro-RO"/>
              </w:rPr>
              <w:t>Principalele prevederi ale proiectului şi evidenţierea elementelor noi</w:t>
            </w:r>
          </w:p>
          <w:p w:rsidR="00C44797" w:rsidRPr="00441292" w:rsidRDefault="00C44797" w:rsidP="00B51D05">
            <w:pPr>
              <w:ind w:left="360"/>
              <w:jc w:val="both"/>
              <w:rPr>
                <w:b/>
                <w:sz w:val="26"/>
                <w:szCs w:val="26"/>
                <w:lang w:val="ro-RO"/>
              </w:rPr>
            </w:pPr>
          </w:p>
        </w:tc>
      </w:tr>
      <w:tr w:rsidR="00C44797" w:rsidRPr="00441292" w:rsidTr="00B51D05">
        <w:trPr>
          <w:trHeight w:val="531"/>
        </w:trPr>
        <w:tc>
          <w:tcPr>
            <w:tcW w:w="9720" w:type="dxa"/>
            <w:tcBorders>
              <w:bottom w:val="single" w:sz="4" w:space="0" w:color="auto"/>
            </w:tcBorders>
          </w:tcPr>
          <w:p w:rsidR="00C44797" w:rsidRPr="0006413C" w:rsidRDefault="00C44797" w:rsidP="00B51D05">
            <w:pPr>
              <w:spacing w:before="120" w:after="120"/>
              <w:jc w:val="both"/>
              <w:rPr>
                <w:sz w:val="26"/>
                <w:szCs w:val="26"/>
                <w:lang w:val="ro-RO"/>
              </w:rPr>
            </w:pPr>
            <w:r w:rsidRPr="0006413C">
              <w:rPr>
                <w:sz w:val="26"/>
                <w:szCs w:val="26"/>
                <w:lang w:val="ro-RO"/>
              </w:rPr>
              <w:t xml:space="preserve">Proiectul Legii privind importul unor autovehicule prevede derogarea de la prevederile </w:t>
            </w:r>
            <w:r w:rsidRPr="0006413C">
              <w:rPr>
                <w:sz w:val="26"/>
                <w:szCs w:val="26"/>
                <w:lang w:val="ro-RO"/>
              </w:rPr>
              <w:lastRenderedPageBreak/>
              <w:t xml:space="preserve">Codului vamal, Codului fiscal, Legii cu privire la tariful vamal pentru introducerea în ţară şi plasarea sub regim vamal de import a două mijloace de transport cu destinaţie specială (dubițe – pentru escortarea/transferarea deținuților), indiferent de termenul de exploatare, cu scutirea de plata drepturilor de import. </w:t>
            </w:r>
          </w:p>
          <w:p w:rsidR="00C44797" w:rsidRPr="0006413C" w:rsidRDefault="00C44797" w:rsidP="00B51D05">
            <w:pPr>
              <w:spacing w:before="120" w:after="120"/>
              <w:jc w:val="both"/>
              <w:rPr>
                <w:sz w:val="26"/>
                <w:szCs w:val="26"/>
                <w:lang w:val="ro-RO"/>
              </w:rPr>
            </w:pPr>
            <w:r w:rsidRPr="00511EE8">
              <w:rPr>
                <w:b/>
                <w:sz w:val="26"/>
                <w:szCs w:val="26"/>
                <w:lang w:val="ro-RO"/>
              </w:rPr>
              <w:t>Necesitatea adoptării unor norme derogatorii</w:t>
            </w:r>
            <w:r w:rsidRPr="0006413C">
              <w:rPr>
                <w:sz w:val="26"/>
                <w:szCs w:val="26"/>
                <w:lang w:val="ro-RO"/>
              </w:rPr>
              <w:t xml:space="preserve"> este determinată de prevederile  art. 31 alin. (1) al Codului vamal, potrivit căruia importul este regimul vamal în care mărfurile introduse pe teritoriul vamal primesc statutul de mărfuri puse în liberă circulaţie numai după ce sînt plătite drepturile de import şi sînt aplicate măsurile de politică economică. </w:t>
            </w:r>
          </w:p>
          <w:p w:rsidR="00C44797" w:rsidRPr="0006413C" w:rsidRDefault="00C44797" w:rsidP="00B51D05">
            <w:pPr>
              <w:spacing w:before="120" w:after="120"/>
              <w:jc w:val="both"/>
              <w:rPr>
                <w:sz w:val="26"/>
                <w:szCs w:val="26"/>
                <w:lang w:val="ro-RO"/>
              </w:rPr>
            </w:pPr>
            <w:r w:rsidRPr="0006413C">
              <w:rPr>
                <w:sz w:val="26"/>
                <w:szCs w:val="26"/>
                <w:lang w:val="ro-RO"/>
              </w:rPr>
              <w:t>Potrivit art.1 subpct. 26) din Codul vamal prin termenul “drepturi de import” se înţelege taxa vamală, taxa pentru procedurile vamale, taxa pe valoarea adăugată, accizele şi orice alte sume care se cuvin statului la importul de mărfuri, încasate de organul vamal în conformitate cu legislaţia.</w:t>
            </w:r>
          </w:p>
          <w:p w:rsidR="00C44797" w:rsidRPr="0006413C" w:rsidRDefault="00C44797" w:rsidP="00B51D05">
            <w:pPr>
              <w:spacing w:before="120" w:after="120"/>
              <w:jc w:val="both"/>
              <w:rPr>
                <w:sz w:val="26"/>
                <w:szCs w:val="26"/>
                <w:lang w:val="ro-RO"/>
              </w:rPr>
            </w:pPr>
            <w:r w:rsidRPr="0006413C">
              <w:rPr>
                <w:sz w:val="26"/>
                <w:szCs w:val="26"/>
                <w:lang w:val="ro-RO"/>
              </w:rPr>
              <w:t xml:space="preserve">  Concomitent, art. 20 alin. (4) al Codului vamal stabileşte că este interzisă introducerea şi/sau plasarea sub regimul vamal de import a mijloacelor de transport auto, clasificate la poziţia tarifară 8703 (cu excepţia autovehiculelor de epocă), precum şi a motoarelor şi a caroseriilor lor, cu termenul de exploatare de peste 10 ani.</w:t>
            </w:r>
          </w:p>
          <w:p w:rsidR="00C44797" w:rsidRPr="0006413C" w:rsidRDefault="00C44797" w:rsidP="00B51D05">
            <w:pPr>
              <w:spacing w:before="120" w:after="120"/>
              <w:jc w:val="both"/>
              <w:rPr>
                <w:sz w:val="26"/>
                <w:szCs w:val="26"/>
                <w:lang w:val="ro-RO"/>
              </w:rPr>
            </w:pPr>
            <w:r w:rsidRPr="0006413C">
              <w:rPr>
                <w:sz w:val="26"/>
                <w:szCs w:val="26"/>
                <w:lang w:val="ro-RO"/>
              </w:rPr>
              <w:t>De menţionat că, beneficiar al mijloacelor de transport cu destinaţie specială este o autoritate publică (Departamentul Instituțiilor Penitenciare), iar autovehiculele respective sunt imperios necesare realizării funcţiilor acesteia.</w:t>
            </w:r>
          </w:p>
          <w:p w:rsidR="00C44797" w:rsidRPr="0006413C" w:rsidRDefault="00C44797" w:rsidP="00B51D05">
            <w:pPr>
              <w:ind w:right="99"/>
              <w:jc w:val="both"/>
              <w:rPr>
                <w:sz w:val="26"/>
                <w:szCs w:val="26"/>
                <w:lang w:val="ro-RO"/>
              </w:rPr>
            </w:pPr>
            <w:r w:rsidRPr="00511EE8">
              <w:rPr>
                <w:b/>
                <w:sz w:val="26"/>
                <w:szCs w:val="26"/>
                <w:lang w:val="ro-RO"/>
              </w:rPr>
              <w:t>Specificările tehnic</w:t>
            </w:r>
            <w:r>
              <w:rPr>
                <w:b/>
                <w:sz w:val="26"/>
                <w:szCs w:val="26"/>
                <w:lang w:val="ro-RO"/>
              </w:rPr>
              <w:t>e</w:t>
            </w:r>
            <w:r w:rsidRPr="00511EE8">
              <w:rPr>
                <w:b/>
                <w:sz w:val="26"/>
                <w:szCs w:val="26"/>
                <w:lang w:val="ro-RO"/>
              </w:rPr>
              <w:t xml:space="preserve"> a unităților de transport</w:t>
            </w:r>
            <w:r w:rsidRPr="0006413C">
              <w:rPr>
                <w:sz w:val="26"/>
                <w:szCs w:val="26"/>
                <w:lang w:val="ro-RO"/>
              </w:rPr>
              <w:t xml:space="preserve"> sunt următoarele:</w:t>
            </w:r>
          </w:p>
          <w:p w:rsidR="00C44797" w:rsidRPr="0006413C" w:rsidRDefault="00C44797" w:rsidP="00B51D05">
            <w:pPr>
              <w:tabs>
                <w:tab w:val="left" w:pos="432"/>
              </w:tabs>
              <w:ind w:right="99" w:firstLine="252"/>
              <w:jc w:val="both"/>
              <w:rPr>
                <w:sz w:val="26"/>
                <w:szCs w:val="26"/>
                <w:lang w:val="ro-RO"/>
              </w:rPr>
            </w:pPr>
            <w:r w:rsidRPr="0006413C">
              <w:rPr>
                <w:sz w:val="26"/>
                <w:szCs w:val="26"/>
                <w:lang w:val="ro-RO"/>
              </w:rPr>
              <w:t>•</w:t>
            </w:r>
            <w:r w:rsidRPr="0006413C">
              <w:rPr>
                <w:sz w:val="26"/>
                <w:szCs w:val="26"/>
                <w:lang w:val="ro-RO"/>
              </w:rPr>
              <w:tab/>
              <w:t>Autospeciala RD – 16215,                                   •</w:t>
            </w:r>
            <w:r w:rsidRPr="0006413C">
              <w:rPr>
                <w:sz w:val="26"/>
                <w:szCs w:val="26"/>
                <w:lang w:val="ro-RO"/>
              </w:rPr>
              <w:tab/>
              <w:t>Autospeciala RD: 16215,</w:t>
            </w:r>
          </w:p>
          <w:p w:rsidR="00C44797" w:rsidRPr="0006413C" w:rsidRDefault="00C44797" w:rsidP="00B51D05">
            <w:pPr>
              <w:tabs>
                <w:tab w:val="left" w:pos="432"/>
              </w:tabs>
              <w:ind w:right="99" w:firstLine="252"/>
              <w:jc w:val="both"/>
              <w:rPr>
                <w:sz w:val="26"/>
                <w:szCs w:val="26"/>
                <w:lang w:val="ro-RO"/>
              </w:rPr>
            </w:pPr>
            <w:r w:rsidRPr="0006413C">
              <w:rPr>
                <w:sz w:val="26"/>
                <w:szCs w:val="26"/>
                <w:lang w:val="ro-RO"/>
              </w:rPr>
              <w:t>Număr înmatriculare: TM–04–DWJ,                      Număr înmatriculare: TM–09–FMX,</w:t>
            </w:r>
          </w:p>
          <w:p w:rsidR="00C44797" w:rsidRPr="0006413C" w:rsidRDefault="00C44797" w:rsidP="00B51D05">
            <w:pPr>
              <w:tabs>
                <w:tab w:val="left" w:pos="432"/>
              </w:tabs>
              <w:ind w:right="99" w:firstLine="252"/>
              <w:jc w:val="both"/>
              <w:rPr>
                <w:sz w:val="26"/>
                <w:szCs w:val="26"/>
                <w:lang w:val="ro-RO"/>
              </w:rPr>
            </w:pPr>
            <w:r w:rsidRPr="0006413C">
              <w:rPr>
                <w:sz w:val="26"/>
                <w:szCs w:val="26"/>
                <w:lang w:val="ro-RO"/>
              </w:rPr>
              <w:t>Număr motor – 180352,                                          Număr motor – 175705,</w:t>
            </w:r>
          </w:p>
          <w:p w:rsidR="00C44797" w:rsidRPr="0006413C" w:rsidRDefault="00C44797" w:rsidP="00B51D05">
            <w:pPr>
              <w:tabs>
                <w:tab w:val="left" w:pos="432"/>
              </w:tabs>
              <w:ind w:right="99" w:firstLine="252"/>
              <w:jc w:val="both"/>
              <w:rPr>
                <w:sz w:val="26"/>
                <w:szCs w:val="26"/>
                <w:lang w:val="ro-RO"/>
              </w:rPr>
            </w:pPr>
            <w:r w:rsidRPr="0006413C">
              <w:rPr>
                <w:sz w:val="26"/>
                <w:szCs w:val="26"/>
                <w:lang w:val="ro-RO"/>
              </w:rPr>
              <w:t>Serie caroserie – UU4201459S0102531,                Serie caroserie – 99225,</w:t>
            </w:r>
          </w:p>
          <w:p w:rsidR="00C44797" w:rsidRPr="0006413C" w:rsidRDefault="00C44797" w:rsidP="00B51D05">
            <w:pPr>
              <w:tabs>
                <w:tab w:val="left" w:pos="432"/>
              </w:tabs>
              <w:ind w:right="99" w:firstLine="252"/>
              <w:jc w:val="both"/>
              <w:rPr>
                <w:sz w:val="26"/>
                <w:szCs w:val="26"/>
                <w:lang w:val="ro-RO"/>
              </w:rPr>
            </w:pPr>
            <w:r w:rsidRPr="0006413C">
              <w:rPr>
                <w:sz w:val="26"/>
                <w:szCs w:val="26"/>
                <w:lang w:val="ro-RO"/>
              </w:rPr>
              <w:t>Anul fabricării  - 1995,                                            Anul fabricării  - 1993,</w:t>
            </w:r>
          </w:p>
          <w:p w:rsidR="00C44797" w:rsidRPr="0006413C" w:rsidRDefault="00C44797" w:rsidP="00B51D05">
            <w:pPr>
              <w:tabs>
                <w:tab w:val="left" w:pos="432"/>
              </w:tabs>
              <w:ind w:right="99" w:firstLine="252"/>
              <w:jc w:val="both"/>
              <w:rPr>
                <w:sz w:val="26"/>
                <w:szCs w:val="26"/>
                <w:lang w:val="ro-RO"/>
              </w:rPr>
            </w:pPr>
            <w:r w:rsidRPr="0006413C">
              <w:rPr>
                <w:sz w:val="26"/>
                <w:szCs w:val="26"/>
                <w:lang w:val="ro-RO"/>
              </w:rPr>
              <w:t>Număr omologare:                                                   Număr omologare:</w:t>
            </w:r>
          </w:p>
          <w:p w:rsidR="00C44797" w:rsidRPr="0006413C" w:rsidRDefault="00C44797" w:rsidP="00B51D05">
            <w:pPr>
              <w:tabs>
                <w:tab w:val="left" w:pos="432"/>
              </w:tabs>
              <w:ind w:right="99" w:firstLine="252"/>
              <w:jc w:val="both"/>
              <w:rPr>
                <w:sz w:val="26"/>
                <w:szCs w:val="26"/>
                <w:lang w:val="ro-RO"/>
              </w:rPr>
            </w:pPr>
            <w:r w:rsidRPr="0006413C">
              <w:rPr>
                <w:sz w:val="26"/>
                <w:szCs w:val="26"/>
                <w:lang w:val="ro-RO"/>
              </w:rPr>
              <w:t>HMX1120011A9511                                               HMRM191111A0303</w:t>
            </w:r>
          </w:p>
          <w:p w:rsidR="00C44797" w:rsidRPr="0006413C" w:rsidRDefault="00C44797" w:rsidP="00B51D05">
            <w:pPr>
              <w:tabs>
                <w:tab w:val="left" w:pos="432"/>
              </w:tabs>
              <w:spacing w:before="120"/>
              <w:ind w:right="96" w:firstLine="249"/>
              <w:rPr>
                <w:sz w:val="26"/>
                <w:szCs w:val="26"/>
                <w:lang w:val="ro-RO"/>
              </w:rPr>
            </w:pPr>
            <w:r w:rsidRPr="0006413C">
              <w:rPr>
                <w:sz w:val="26"/>
                <w:szCs w:val="26"/>
                <w:lang w:val="ro-RO"/>
              </w:rPr>
              <w:t xml:space="preserve">Capacitatea este de 26 locuri </w:t>
            </w:r>
            <w:r>
              <w:rPr>
                <w:sz w:val="26"/>
                <w:szCs w:val="26"/>
                <w:lang w:val="ro-RO"/>
              </w:rPr>
              <w:t xml:space="preserve">în </w:t>
            </w:r>
            <w:r w:rsidRPr="0006413C">
              <w:rPr>
                <w:sz w:val="26"/>
                <w:szCs w:val="26"/>
                <w:lang w:val="ro-RO"/>
              </w:rPr>
              <w:t>fiecare autospecială.</w:t>
            </w:r>
          </w:p>
          <w:p w:rsidR="00C44797" w:rsidRPr="00441292" w:rsidRDefault="00C44797" w:rsidP="00B51D05">
            <w:pPr>
              <w:tabs>
                <w:tab w:val="left" w:pos="432"/>
              </w:tabs>
              <w:ind w:right="99" w:firstLine="252"/>
              <w:rPr>
                <w:sz w:val="26"/>
                <w:szCs w:val="26"/>
                <w:lang w:val="ro-RO"/>
              </w:rPr>
            </w:pPr>
            <w:r>
              <w:rPr>
                <w:sz w:val="26"/>
                <w:szCs w:val="26"/>
                <w:lang w:val="ro-RO"/>
              </w:rPr>
              <w:t xml:space="preserve">                                      </w:t>
            </w:r>
          </w:p>
        </w:tc>
      </w:tr>
      <w:tr w:rsidR="00C44797" w:rsidRPr="00441292" w:rsidTr="00B51D05">
        <w:tc>
          <w:tcPr>
            <w:tcW w:w="9720" w:type="dxa"/>
            <w:tcBorders>
              <w:bottom w:val="single" w:sz="4" w:space="0" w:color="auto"/>
            </w:tcBorders>
            <w:shd w:val="pct15" w:color="auto" w:fill="auto"/>
          </w:tcPr>
          <w:p w:rsidR="00C44797" w:rsidRPr="00441292" w:rsidRDefault="00C44797" w:rsidP="00C44797">
            <w:pPr>
              <w:numPr>
                <w:ilvl w:val="0"/>
                <w:numId w:val="1"/>
              </w:numPr>
              <w:tabs>
                <w:tab w:val="left" w:pos="252"/>
              </w:tabs>
              <w:spacing w:after="0" w:line="240" w:lineRule="auto"/>
              <w:ind w:hanging="828"/>
              <w:rPr>
                <w:b/>
                <w:sz w:val="26"/>
                <w:szCs w:val="26"/>
                <w:lang w:val="ro-RO"/>
              </w:rPr>
            </w:pPr>
            <w:r w:rsidRPr="00441292">
              <w:rPr>
                <w:b/>
                <w:sz w:val="26"/>
                <w:szCs w:val="26"/>
                <w:lang w:val="ro-RO"/>
              </w:rPr>
              <w:lastRenderedPageBreak/>
              <w:t xml:space="preserve">Fundamentarea economico-financiară </w:t>
            </w:r>
          </w:p>
          <w:p w:rsidR="00C44797" w:rsidRPr="00441292" w:rsidRDefault="00C44797" w:rsidP="00B51D05">
            <w:pPr>
              <w:ind w:left="360"/>
              <w:rPr>
                <w:b/>
                <w:sz w:val="26"/>
                <w:szCs w:val="26"/>
                <w:lang w:val="ro-RO"/>
              </w:rPr>
            </w:pPr>
          </w:p>
        </w:tc>
      </w:tr>
      <w:tr w:rsidR="00C44797" w:rsidRPr="00441292" w:rsidTr="00B51D05">
        <w:tc>
          <w:tcPr>
            <w:tcW w:w="9720" w:type="dxa"/>
            <w:tcBorders>
              <w:top w:val="single" w:sz="4" w:space="0" w:color="auto"/>
              <w:left w:val="single" w:sz="4" w:space="0" w:color="auto"/>
              <w:bottom w:val="single" w:sz="4" w:space="0" w:color="auto"/>
              <w:right w:val="single" w:sz="4" w:space="0" w:color="auto"/>
            </w:tcBorders>
          </w:tcPr>
          <w:p w:rsidR="00C44797" w:rsidRPr="00511EE8" w:rsidRDefault="00C44797" w:rsidP="00B51D05">
            <w:pPr>
              <w:spacing w:before="120" w:after="120"/>
              <w:jc w:val="both"/>
              <w:rPr>
                <w:b/>
                <w:sz w:val="26"/>
                <w:szCs w:val="26"/>
                <w:lang w:val="ro-RO"/>
              </w:rPr>
            </w:pPr>
            <w:r w:rsidRPr="0006413C">
              <w:rPr>
                <w:sz w:val="26"/>
                <w:szCs w:val="26"/>
                <w:lang w:val="ro-RO"/>
              </w:rPr>
              <w:lastRenderedPageBreak/>
              <w:t xml:space="preserve">Potrivit proiectului de Lege privind importul unor autovehicule, autospecialele se acordă cu titlu gratuit </w:t>
            </w:r>
            <w:r w:rsidRPr="00511EE8">
              <w:rPr>
                <w:b/>
                <w:sz w:val="26"/>
                <w:szCs w:val="26"/>
                <w:lang w:val="ro-RO"/>
              </w:rPr>
              <w:t xml:space="preserve">- donație. </w:t>
            </w:r>
          </w:p>
          <w:p w:rsidR="00C44797" w:rsidRPr="00511EE8" w:rsidRDefault="00C44797" w:rsidP="00B51D05">
            <w:pPr>
              <w:spacing w:before="120" w:after="120"/>
              <w:jc w:val="both"/>
              <w:rPr>
                <w:b/>
                <w:sz w:val="26"/>
                <w:szCs w:val="26"/>
                <w:lang w:val="ro-RO"/>
              </w:rPr>
            </w:pPr>
            <w:r w:rsidRPr="0006413C">
              <w:rPr>
                <w:sz w:val="26"/>
                <w:szCs w:val="26"/>
                <w:lang w:val="ro-RO"/>
              </w:rPr>
              <w:t xml:space="preserve">Dacă proiectul de Lege derogatorie va fi promovat, pentru introducerea în țară a mijloacelor de transport indicate supra, autoritatea interesată va fi </w:t>
            </w:r>
            <w:r w:rsidRPr="00511EE8">
              <w:rPr>
                <w:b/>
                <w:sz w:val="26"/>
                <w:szCs w:val="26"/>
                <w:lang w:val="ro-RO"/>
              </w:rPr>
              <w:t xml:space="preserve">scutită de </w:t>
            </w:r>
            <w:r>
              <w:rPr>
                <w:b/>
                <w:sz w:val="26"/>
                <w:szCs w:val="26"/>
                <w:lang w:val="ro-RO"/>
              </w:rPr>
              <w:t>plata drepturilor</w:t>
            </w:r>
            <w:r w:rsidRPr="00511EE8">
              <w:rPr>
                <w:b/>
                <w:sz w:val="26"/>
                <w:szCs w:val="26"/>
                <w:lang w:val="ro-RO"/>
              </w:rPr>
              <w:t xml:space="preserve"> de import. </w:t>
            </w:r>
          </w:p>
          <w:p w:rsidR="00C44797" w:rsidRPr="0006413C" w:rsidRDefault="00C44797" w:rsidP="00B51D05">
            <w:pPr>
              <w:spacing w:before="120"/>
              <w:jc w:val="both"/>
              <w:rPr>
                <w:sz w:val="26"/>
                <w:szCs w:val="26"/>
                <w:lang w:val="ro-RO"/>
              </w:rPr>
            </w:pPr>
            <w:r w:rsidRPr="0006413C">
              <w:rPr>
                <w:sz w:val="26"/>
                <w:szCs w:val="26"/>
                <w:lang w:val="ro-RO"/>
              </w:rPr>
              <w:t xml:space="preserve">Alte cheltuieli vor fi ocazionate de întreținerea acestora pe măsura utilizării/exploatării lor. </w:t>
            </w:r>
          </w:p>
          <w:p w:rsidR="00C44797" w:rsidRPr="0054681E" w:rsidRDefault="00C44797" w:rsidP="00B51D05">
            <w:pPr>
              <w:jc w:val="both"/>
              <w:rPr>
                <w:sz w:val="16"/>
                <w:szCs w:val="16"/>
                <w:lang w:val="ro-RO"/>
              </w:rPr>
            </w:pPr>
          </w:p>
        </w:tc>
      </w:tr>
      <w:tr w:rsidR="00C44797" w:rsidRPr="00441292" w:rsidTr="00B51D05">
        <w:tc>
          <w:tcPr>
            <w:tcW w:w="9720" w:type="dxa"/>
            <w:tcBorders>
              <w:top w:val="single" w:sz="4" w:space="0" w:color="auto"/>
            </w:tcBorders>
            <w:shd w:val="pct15" w:color="auto" w:fill="auto"/>
          </w:tcPr>
          <w:p w:rsidR="00C44797" w:rsidRPr="00441292" w:rsidRDefault="00C44797" w:rsidP="00C44797">
            <w:pPr>
              <w:numPr>
                <w:ilvl w:val="0"/>
                <w:numId w:val="1"/>
              </w:numPr>
              <w:tabs>
                <w:tab w:val="left" w:pos="252"/>
              </w:tabs>
              <w:spacing w:after="0" w:line="240" w:lineRule="auto"/>
              <w:ind w:hanging="828"/>
              <w:rPr>
                <w:b/>
                <w:sz w:val="26"/>
                <w:szCs w:val="26"/>
                <w:lang w:val="ro-RO"/>
              </w:rPr>
            </w:pPr>
            <w:r w:rsidRPr="00441292">
              <w:rPr>
                <w:b/>
                <w:sz w:val="26"/>
                <w:szCs w:val="26"/>
                <w:lang w:val="ro-RO"/>
              </w:rPr>
              <w:t xml:space="preserve">Impactul proiectului </w:t>
            </w:r>
          </w:p>
          <w:p w:rsidR="00C44797" w:rsidRPr="00441292" w:rsidRDefault="00C44797" w:rsidP="00B51D05">
            <w:pPr>
              <w:ind w:left="360"/>
              <w:rPr>
                <w:b/>
                <w:color w:val="FF0000"/>
                <w:sz w:val="26"/>
                <w:szCs w:val="26"/>
                <w:lang w:val="ro-RO"/>
              </w:rPr>
            </w:pPr>
          </w:p>
        </w:tc>
      </w:tr>
      <w:tr w:rsidR="00C44797" w:rsidRPr="00441292" w:rsidTr="00B51D05">
        <w:tc>
          <w:tcPr>
            <w:tcW w:w="9720" w:type="dxa"/>
            <w:tcBorders>
              <w:bottom w:val="single" w:sz="4" w:space="0" w:color="auto"/>
            </w:tcBorders>
          </w:tcPr>
          <w:p w:rsidR="00C44797" w:rsidRPr="0006413C" w:rsidRDefault="00C44797" w:rsidP="00B51D05">
            <w:pPr>
              <w:spacing w:before="120"/>
              <w:ind w:right="96"/>
              <w:jc w:val="both"/>
              <w:rPr>
                <w:sz w:val="26"/>
                <w:szCs w:val="26"/>
                <w:lang w:val="ro-RO"/>
              </w:rPr>
            </w:pPr>
            <w:r w:rsidRPr="00164381">
              <w:rPr>
                <w:b/>
                <w:sz w:val="26"/>
                <w:szCs w:val="26"/>
                <w:lang w:val="ro-RO"/>
              </w:rPr>
              <w:t>Autospeciale menționate sunt inerente activității curente a organelor care asigură executarea pedepselor penale privative de libertate.</w:t>
            </w:r>
            <w:r w:rsidRPr="0006413C">
              <w:rPr>
                <w:sz w:val="26"/>
                <w:szCs w:val="26"/>
                <w:lang w:val="ro-RO"/>
              </w:rPr>
              <w:t xml:space="preserve"> Ele vor fi predestinate pentru escortarea deţinuţilor în instanţele judecătoreşti, transferul acestora la organele de urmărire penală sau în alte locuri de detenţie pentru executarea pedepsei, activități ce vor putea fi realizate în termeni proximi. Or, din lipsa unui număr suficient de autospeciale de acest gen, escortările/transferurile se planifică în dependență de disponibilitatea autospecialelor și acumularea unui număr suficient de deținuți. </w:t>
            </w:r>
          </w:p>
          <w:p w:rsidR="00C44797" w:rsidRPr="00164381" w:rsidRDefault="00C44797" w:rsidP="00B51D05">
            <w:pPr>
              <w:spacing w:before="120"/>
              <w:ind w:right="96"/>
              <w:jc w:val="both"/>
              <w:rPr>
                <w:b/>
                <w:sz w:val="26"/>
                <w:szCs w:val="26"/>
                <w:lang w:val="ro-RO"/>
              </w:rPr>
            </w:pPr>
            <w:r w:rsidRPr="0006413C">
              <w:rPr>
                <w:sz w:val="26"/>
                <w:szCs w:val="26"/>
                <w:lang w:val="ro-RO"/>
              </w:rPr>
              <w:t xml:space="preserve">Prezența acestor vehicule va permite </w:t>
            </w:r>
            <w:r w:rsidRPr="00164381">
              <w:rPr>
                <w:b/>
                <w:sz w:val="26"/>
                <w:szCs w:val="26"/>
                <w:lang w:val="ro-RO"/>
              </w:rPr>
              <w:t>soluționarea următoarele deficiențe:</w:t>
            </w:r>
          </w:p>
          <w:p w:rsidR="00C44797" w:rsidRPr="0006413C" w:rsidRDefault="00C44797" w:rsidP="00B51D05">
            <w:pPr>
              <w:tabs>
                <w:tab w:val="left" w:pos="252"/>
              </w:tabs>
              <w:ind w:right="99"/>
              <w:jc w:val="both"/>
              <w:rPr>
                <w:sz w:val="26"/>
                <w:szCs w:val="26"/>
                <w:lang w:val="ro-RO"/>
              </w:rPr>
            </w:pPr>
            <w:r w:rsidRPr="0006413C">
              <w:rPr>
                <w:sz w:val="26"/>
                <w:szCs w:val="26"/>
                <w:lang w:val="ro-RO"/>
              </w:rPr>
              <w:t>•</w:t>
            </w:r>
            <w:r w:rsidRPr="0006413C">
              <w:rPr>
                <w:sz w:val="26"/>
                <w:szCs w:val="26"/>
                <w:lang w:val="ro-RO"/>
              </w:rPr>
              <w:tab/>
              <w:t xml:space="preserve">majorarea numărului de escortări planificate și neplanificate; </w:t>
            </w:r>
          </w:p>
          <w:p w:rsidR="00C44797" w:rsidRPr="0006413C" w:rsidRDefault="00C44797" w:rsidP="00B51D05">
            <w:pPr>
              <w:tabs>
                <w:tab w:val="left" w:pos="252"/>
              </w:tabs>
              <w:ind w:right="99"/>
              <w:jc w:val="both"/>
              <w:rPr>
                <w:sz w:val="26"/>
                <w:szCs w:val="26"/>
                <w:lang w:val="ro-RO"/>
              </w:rPr>
            </w:pPr>
            <w:r w:rsidRPr="0006413C">
              <w:rPr>
                <w:sz w:val="26"/>
                <w:szCs w:val="26"/>
                <w:lang w:val="ro-RO"/>
              </w:rPr>
              <w:t>•</w:t>
            </w:r>
            <w:r w:rsidRPr="0006413C">
              <w:rPr>
                <w:sz w:val="26"/>
                <w:szCs w:val="26"/>
                <w:lang w:val="ro-RO"/>
              </w:rPr>
              <w:tab/>
              <w:t>completarea parcului auto destinat transportării deținuților;</w:t>
            </w:r>
          </w:p>
          <w:p w:rsidR="00C44797" w:rsidRPr="0006413C" w:rsidRDefault="00C44797" w:rsidP="00B51D05">
            <w:pPr>
              <w:ind w:right="99"/>
              <w:jc w:val="both"/>
              <w:rPr>
                <w:sz w:val="26"/>
                <w:szCs w:val="26"/>
                <w:lang w:val="ro-RO"/>
              </w:rPr>
            </w:pPr>
            <w:r w:rsidRPr="0006413C">
              <w:rPr>
                <w:sz w:val="26"/>
                <w:szCs w:val="26"/>
                <w:lang w:val="ro-RO"/>
              </w:rPr>
              <w:t>•   reînnoirea vehiculelor existente.</w:t>
            </w:r>
          </w:p>
          <w:p w:rsidR="00C44797" w:rsidRPr="0054681E" w:rsidRDefault="00C44797" w:rsidP="00B51D05">
            <w:pPr>
              <w:spacing w:before="120"/>
              <w:ind w:right="96"/>
              <w:jc w:val="both"/>
              <w:rPr>
                <w:sz w:val="16"/>
                <w:szCs w:val="16"/>
                <w:lang w:val="ro-RO"/>
              </w:rPr>
            </w:pPr>
          </w:p>
        </w:tc>
      </w:tr>
    </w:tbl>
    <w:p w:rsidR="00C44797" w:rsidRDefault="00C44797" w:rsidP="00C44797">
      <w:pPr>
        <w:jc w:val="center"/>
        <w:rPr>
          <w:b/>
          <w:sz w:val="28"/>
          <w:szCs w:val="28"/>
          <w:lang w:val="ro-RO"/>
        </w:rPr>
      </w:pPr>
    </w:p>
    <w:p w:rsidR="00C44797" w:rsidRDefault="00C44797" w:rsidP="00C44797">
      <w:pPr>
        <w:jc w:val="center"/>
        <w:rPr>
          <w:b/>
          <w:sz w:val="28"/>
          <w:szCs w:val="28"/>
          <w:lang w:val="ro-RO"/>
        </w:rPr>
      </w:pPr>
    </w:p>
    <w:p w:rsidR="00C44797" w:rsidRDefault="00C44797" w:rsidP="00C44797"/>
    <w:p w:rsidR="00B02FF1" w:rsidRDefault="00B02FF1"/>
    <w:sectPr w:rsidR="00B02F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C427B"/>
    <w:multiLevelType w:val="hybridMultilevel"/>
    <w:tmpl w:val="2B22414A"/>
    <w:lvl w:ilvl="0" w:tplc="05ECA4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4797"/>
    <w:rsid w:val="00B02FF1"/>
    <w:rsid w:val="00C44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4797"/>
    <w:pPr>
      <w:ind w:left="720"/>
      <w:contextualSpacing/>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Company>MICROSOFT</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bucsanu</dc:creator>
  <cp:keywords/>
  <dc:description/>
  <cp:lastModifiedBy>bucsanu</cp:lastModifiedBy>
  <cp:revision>2</cp:revision>
  <dcterms:created xsi:type="dcterms:W3CDTF">2013-02-11T08:46:00Z</dcterms:created>
  <dcterms:modified xsi:type="dcterms:W3CDTF">2013-02-11T08:46:00Z</dcterms:modified>
</cp:coreProperties>
</file>