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623" w:rsidRPr="00D7373F" w:rsidRDefault="004F6623" w:rsidP="004F6623">
      <w:pPr>
        <w:rPr>
          <w:b/>
          <w:sz w:val="24"/>
          <w:szCs w:val="24"/>
          <w:lang w:val="ro-RO"/>
        </w:rPr>
      </w:pPr>
      <w:r w:rsidRPr="00D7373F">
        <w:rPr>
          <w:b/>
          <w:bCs/>
          <w:sz w:val="24"/>
          <w:szCs w:val="24"/>
          <w:lang w:val="ro-RO" w:eastAsia="ru-RU"/>
        </w:rPr>
        <w:t xml:space="preserve">                                               </w:t>
      </w:r>
      <w:r w:rsidRPr="00D7373F">
        <w:rPr>
          <w:b/>
          <w:sz w:val="24"/>
          <w:szCs w:val="24"/>
          <w:lang w:val="ro-RO"/>
        </w:rPr>
        <w:t>CERERE nr. 09/</w:t>
      </w:r>
      <w:r w:rsidR="00812E22">
        <w:rPr>
          <w:b/>
          <w:sz w:val="24"/>
          <w:szCs w:val="24"/>
          <w:lang w:val="ro-RO"/>
        </w:rPr>
        <w:t>5034</w:t>
      </w:r>
      <w:bookmarkStart w:id="0" w:name="_GoBack"/>
      <w:bookmarkEnd w:id="0"/>
    </w:p>
    <w:p w:rsidR="004F6623" w:rsidRPr="00D7373F" w:rsidRDefault="00E96FE5" w:rsidP="004F6623">
      <w:pPr>
        <w:ind w:firstLine="0"/>
        <w:jc w:val="center"/>
        <w:rPr>
          <w:b/>
          <w:sz w:val="24"/>
          <w:szCs w:val="24"/>
          <w:lang w:val="ro-RO"/>
        </w:rPr>
      </w:pPr>
      <w:r>
        <w:rPr>
          <w:b/>
          <w:sz w:val="24"/>
          <w:szCs w:val="24"/>
          <w:lang w:val="ro-RO"/>
        </w:rPr>
        <w:t xml:space="preserve">din </w:t>
      </w:r>
      <w:r w:rsidR="00B80570">
        <w:rPr>
          <w:b/>
          <w:sz w:val="24"/>
          <w:szCs w:val="24"/>
          <w:lang w:val="ro-RO"/>
        </w:rPr>
        <w:t xml:space="preserve"> </w:t>
      </w:r>
      <w:r w:rsidR="00E928EF">
        <w:rPr>
          <w:b/>
          <w:sz w:val="24"/>
          <w:szCs w:val="24"/>
          <w:lang w:val="ro-RO"/>
        </w:rPr>
        <w:t xml:space="preserve">8 </w:t>
      </w:r>
      <w:r w:rsidR="00B80570">
        <w:rPr>
          <w:b/>
          <w:sz w:val="24"/>
          <w:szCs w:val="24"/>
          <w:lang w:val="ro-RO"/>
        </w:rPr>
        <w:t>iunie</w:t>
      </w:r>
      <w:r w:rsidR="004F6623" w:rsidRPr="00D7373F">
        <w:rPr>
          <w:b/>
          <w:sz w:val="24"/>
          <w:szCs w:val="24"/>
          <w:lang w:val="ro-RO"/>
        </w:rPr>
        <w:t xml:space="preserve"> 2022</w:t>
      </w:r>
    </w:p>
    <w:p w:rsidR="004F6623" w:rsidRPr="00D7373F" w:rsidRDefault="004F6623" w:rsidP="004F6623">
      <w:pPr>
        <w:ind w:firstLine="0"/>
        <w:jc w:val="center"/>
        <w:rPr>
          <w:b/>
          <w:sz w:val="24"/>
          <w:szCs w:val="24"/>
          <w:lang w:val="ro-RO"/>
        </w:rPr>
      </w:pPr>
    </w:p>
    <w:p w:rsidR="004F6623" w:rsidRPr="00D7373F" w:rsidRDefault="004F6623" w:rsidP="004F6623">
      <w:pPr>
        <w:tabs>
          <w:tab w:val="left" w:pos="709"/>
          <w:tab w:val="left" w:pos="851"/>
        </w:tabs>
        <w:spacing w:line="276" w:lineRule="auto"/>
        <w:ind w:left="567" w:firstLine="0"/>
        <w:jc w:val="center"/>
        <w:rPr>
          <w:rFonts w:eastAsia="Batang"/>
          <w:b/>
          <w:sz w:val="24"/>
          <w:szCs w:val="24"/>
          <w:lang w:val="ro-RO" w:eastAsia="ko-KR"/>
        </w:rPr>
      </w:pPr>
      <w:r w:rsidRPr="00D7373F">
        <w:rPr>
          <w:b/>
          <w:sz w:val="24"/>
          <w:szCs w:val="24"/>
          <w:lang w:val="ro-RO"/>
        </w:rPr>
        <w:t xml:space="preserve">privind </w:t>
      </w:r>
      <w:r w:rsidRPr="00D7373F">
        <w:rPr>
          <w:rFonts w:eastAsia="Batang"/>
          <w:b/>
          <w:sz w:val="24"/>
          <w:szCs w:val="24"/>
          <w:lang w:val="ro-RO" w:eastAsia="ko-KR"/>
        </w:rPr>
        <w:t xml:space="preserve">înregistrarea de către Cancelaria de Stat a proiectului </w:t>
      </w:r>
    </w:p>
    <w:p w:rsidR="004F6623" w:rsidRPr="00D7373F" w:rsidRDefault="004F6623" w:rsidP="004F6623">
      <w:pPr>
        <w:tabs>
          <w:tab w:val="left" w:pos="709"/>
          <w:tab w:val="left" w:pos="851"/>
        </w:tabs>
        <w:spacing w:line="276" w:lineRule="auto"/>
        <w:ind w:left="567" w:firstLine="0"/>
        <w:jc w:val="center"/>
        <w:rPr>
          <w:rFonts w:eastAsia="Calibri"/>
          <w:b/>
          <w:color w:val="000000"/>
          <w:sz w:val="24"/>
          <w:szCs w:val="24"/>
          <w:lang w:val="ro-RO"/>
        </w:rPr>
      </w:pPr>
      <w:r w:rsidRPr="00D7373F">
        <w:rPr>
          <w:rFonts w:eastAsia="Batang"/>
          <w:b/>
          <w:sz w:val="24"/>
          <w:szCs w:val="24"/>
          <w:lang w:val="ro-RO" w:eastAsia="ko-KR"/>
        </w:rPr>
        <w:t xml:space="preserve">Hotărîrii Guvernului </w:t>
      </w:r>
      <w:r w:rsidRPr="00D7373F">
        <w:rPr>
          <w:rFonts w:eastAsia="Calibri"/>
          <w:b/>
          <w:sz w:val="24"/>
          <w:szCs w:val="24"/>
          <w:lang w:val="ro-RO"/>
        </w:rPr>
        <w:t>cu privire</w:t>
      </w:r>
      <w:r w:rsidRPr="00D7373F">
        <w:rPr>
          <w:rFonts w:eastAsia="Calibri"/>
          <w:b/>
          <w:bCs/>
          <w:sz w:val="24"/>
          <w:szCs w:val="24"/>
          <w:lang w:val="ro-RO"/>
        </w:rPr>
        <w:t xml:space="preserve"> la </w:t>
      </w:r>
      <w:r w:rsidRPr="00D7373F">
        <w:rPr>
          <w:rFonts w:eastAsia="Calibri"/>
          <w:b/>
          <w:bCs/>
          <w:sz w:val="24"/>
          <w:szCs w:val="24"/>
          <w:lang w:val="ro-RO" w:eastAsia="ru-RU"/>
        </w:rPr>
        <w:t>încheierea unui contract</w:t>
      </w:r>
      <w:r>
        <w:rPr>
          <w:rFonts w:eastAsia="Calibri"/>
          <w:b/>
          <w:bCs/>
          <w:sz w:val="24"/>
          <w:szCs w:val="24"/>
          <w:lang w:val="ro-RO" w:eastAsia="ru-RU"/>
        </w:rPr>
        <w:t xml:space="preserve"> de asistenţă juridică</w:t>
      </w:r>
      <w:r w:rsidRPr="00D7373F">
        <w:rPr>
          <w:rFonts w:eastAsia="Calibri"/>
          <w:b/>
          <w:bCs/>
          <w:sz w:val="24"/>
          <w:szCs w:val="24"/>
          <w:lang w:val="ro-RO" w:eastAsia="ru-RU"/>
        </w:rPr>
        <w:t xml:space="preserve"> </w:t>
      </w:r>
    </w:p>
    <w:p w:rsidR="004F6623" w:rsidRPr="00891130" w:rsidRDefault="004F6623" w:rsidP="004F6623">
      <w:pPr>
        <w:ind w:firstLine="0"/>
        <w:jc w:val="center"/>
        <w:rPr>
          <w:sz w:val="24"/>
          <w:szCs w:val="24"/>
          <w:lang w:val="ro-RO"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634"/>
        <w:gridCol w:w="4293"/>
      </w:tblGrid>
      <w:tr w:rsidR="004F6623" w:rsidRPr="00891130" w:rsidTr="00DF118A">
        <w:trPr>
          <w:trHeight w:val="210"/>
        </w:trPr>
        <w:tc>
          <w:tcPr>
            <w:tcW w:w="336" w:type="pct"/>
            <w:vAlign w:val="center"/>
          </w:tcPr>
          <w:p w:rsidR="004F6623" w:rsidRPr="00891130" w:rsidRDefault="004F6623" w:rsidP="00DF118A">
            <w:pPr>
              <w:ind w:firstLine="0"/>
              <w:jc w:val="center"/>
              <w:rPr>
                <w:sz w:val="24"/>
                <w:szCs w:val="24"/>
                <w:lang w:val="ro-RO"/>
              </w:rPr>
            </w:pPr>
            <w:r w:rsidRPr="00891130">
              <w:rPr>
                <w:sz w:val="24"/>
                <w:szCs w:val="24"/>
                <w:lang w:val="ro-RO"/>
              </w:rPr>
              <w:t>Nr. crt.</w:t>
            </w:r>
          </w:p>
        </w:tc>
        <w:tc>
          <w:tcPr>
            <w:tcW w:w="2421" w:type="pct"/>
            <w:vAlign w:val="center"/>
          </w:tcPr>
          <w:p w:rsidR="004F6623" w:rsidRPr="00891130" w:rsidRDefault="004F6623" w:rsidP="00DF118A">
            <w:pPr>
              <w:ind w:firstLine="0"/>
              <w:jc w:val="center"/>
              <w:rPr>
                <w:sz w:val="24"/>
                <w:szCs w:val="24"/>
                <w:lang w:val="ro-RO"/>
              </w:rPr>
            </w:pPr>
            <w:r w:rsidRPr="00891130">
              <w:rPr>
                <w:sz w:val="24"/>
                <w:szCs w:val="24"/>
                <w:lang w:val="ro-RO"/>
              </w:rPr>
              <w:t>Criterii de înregistrare</w:t>
            </w:r>
          </w:p>
        </w:tc>
        <w:tc>
          <w:tcPr>
            <w:tcW w:w="2243" w:type="pct"/>
            <w:vAlign w:val="center"/>
          </w:tcPr>
          <w:p w:rsidR="004F6623" w:rsidRPr="00891130" w:rsidRDefault="004F6623" w:rsidP="00DF118A">
            <w:pPr>
              <w:ind w:firstLine="0"/>
              <w:jc w:val="center"/>
              <w:rPr>
                <w:sz w:val="24"/>
                <w:szCs w:val="24"/>
                <w:lang w:val="ro-RO"/>
              </w:rPr>
            </w:pPr>
            <w:r w:rsidRPr="00891130">
              <w:rPr>
                <w:sz w:val="24"/>
                <w:szCs w:val="24"/>
                <w:lang w:val="ro-RO"/>
              </w:rPr>
              <w:t>Nota autorului</w:t>
            </w:r>
          </w:p>
        </w:tc>
      </w:tr>
      <w:tr w:rsidR="004F6623" w:rsidRPr="00891130" w:rsidTr="00DF118A">
        <w:trPr>
          <w:trHeight w:val="315"/>
        </w:trPr>
        <w:tc>
          <w:tcPr>
            <w:tcW w:w="336" w:type="pct"/>
          </w:tcPr>
          <w:p w:rsidR="004F6623" w:rsidRPr="00891130" w:rsidRDefault="004F6623" w:rsidP="00DF118A">
            <w:pPr>
              <w:ind w:firstLine="0"/>
              <w:jc w:val="center"/>
              <w:rPr>
                <w:sz w:val="24"/>
                <w:szCs w:val="24"/>
                <w:lang w:val="ro-RO"/>
              </w:rPr>
            </w:pPr>
            <w:r w:rsidRPr="00891130">
              <w:rPr>
                <w:sz w:val="24"/>
                <w:szCs w:val="24"/>
                <w:lang w:val="ro-RO"/>
              </w:rPr>
              <w:t>1.</w:t>
            </w:r>
          </w:p>
        </w:tc>
        <w:tc>
          <w:tcPr>
            <w:tcW w:w="2421" w:type="pct"/>
          </w:tcPr>
          <w:p w:rsidR="004F6623" w:rsidRPr="00891130" w:rsidRDefault="004F6623" w:rsidP="00DF118A">
            <w:pPr>
              <w:ind w:firstLine="0"/>
              <w:jc w:val="left"/>
              <w:rPr>
                <w:sz w:val="24"/>
                <w:szCs w:val="24"/>
                <w:lang w:val="ro-RO"/>
              </w:rPr>
            </w:pPr>
            <w:r w:rsidRPr="00891130">
              <w:rPr>
                <w:sz w:val="24"/>
                <w:szCs w:val="24"/>
                <w:lang w:val="ro-RO"/>
              </w:rPr>
              <w:t>Tipul și denumirea proiectului</w:t>
            </w:r>
          </w:p>
          <w:p w:rsidR="004F6623" w:rsidRPr="00891130" w:rsidRDefault="004F6623" w:rsidP="00DF118A">
            <w:pPr>
              <w:ind w:firstLine="0"/>
              <w:jc w:val="left"/>
              <w:rPr>
                <w:sz w:val="24"/>
                <w:szCs w:val="24"/>
                <w:lang w:val="ro-RO"/>
              </w:rPr>
            </w:pPr>
          </w:p>
        </w:tc>
        <w:tc>
          <w:tcPr>
            <w:tcW w:w="2243" w:type="pct"/>
          </w:tcPr>
          <w:p w:rsidR="004F6623" w:rsidRPr="00891130" w:rsidRDefault="004F6623" w:rsidP="00DF118A">
            <w:pPr>
              <w:ind w:firstLine="0"/>
              <w:jc w:val="left"/>
              <w:rPr>
                <w:sz w:val="24"/>
                <w:szCs w:val="24"/>
                <w:lang w:val="ro-RO"/>
              </w:rPr>
            </w:pPr>
            <w:r>
              <w:rPr>
                <w:sz w:val="24"/>
                <w:szCs w:val="24"/>
                <w:lang w:val="ro-RO"/>
              </w:rPr>
              <w:t>- H</w:t>
            </w:r>
            <w:r w:rsidRPr="00891130">
              <w:rPr>
                <w:sz w:val="24"/>
                <w:szCs w:val="24"/>
                <w:lang w:val="ro-RO"/>
              </w:rPr>
              <w:t>otărîrea Guvernului</w:t>
            </w:r>
            <w:r>
              <w:rPr>
                <w:sz w:val="24"/>
                <w:szCs w:val="24"/>
                <w:lang w:val="ro-RO"/>
              </w:rPr>
              <w:t>;</w:t>
            </w:r>
          </w:p>
          <w:p w:rsidR="004F6623" w:rsidRPr="00891130" w:rsidRDefault="004F6623" w:rsidP="00DF118A">
            <w:pPr>
              <w:tabs>
                <w:tab w:val="left" w:pos="146"/>
              </w:tabs>
              <w:ind w:firstLine="0"/>
              <w:jc w:val="left"/>
              <w:rPr>
                <w:sz w:val="24"/>
                <w:szCs w:val="24"/>
                <w:lang w:val="ro-RO"/>
              </w:rPr>
            </w:pPr>
            <w:r>
              <w:rPr>
                <w:sz w:val="24"/>
                <w:szCs w:val="24"/>
                <w:lang w:val="ro-RO"/>
              </w:rPr>
              <w:t>- H</w:t>
            </w:r>
            <w:r w:rsidRPr="00891130">
              <w:rPr>
                <w:sz w:val="24"/>
                <w:szCs w:val="24"/>
                <w:lang w:val="ro-RO"/>
              </w:rPr>
              <w:t xml:space="preserve">otărîrea Guvernului </w:t>
            </w:r>
            <w:r w:rsidRPr="00891130">
              <w:rPr>
                <w:rFonts w:eastAsia="Calibri"/>
                <w:sz w:val="24"/>
                <w:szCs w:val="24"/>
                <w:lang w:val="ro-RO"/>
              </w:rPr>
              <w:t>cu privire</w:t>
            </w:r>
            <w:r w:rsidRPr="00891130">
              <w:rPr>
                <w:rFonts w:eastAsia="Calibri"/>
                <w:bCs/>
                <w:sz w:val="24"/>
                <w:szCs w:val="24"/>
                <w:lang w:val="ro-RO"/>
              </w:rPr>
              <w:t xml:space="preserve"> la </w:t>
            </w:r>
            <w:r w:rsidRPr="00891130">
              <w:rPr>
                <w:rFonts w:eastAsia="Calibri"/>
                <w:bCs/>
                <w:sz w:val="24"/>
                <w:szCs w:val="24"/>
                <w:lang w:val="ro-RO" w:eastAsia="ru-RU"/>
              </w:rPr>
              <w:t>încheierea unui contract</w:t>
            </w:r>
            <w:r>
              <w:rPr>
                <w:rFonts w:eastAsia="Calibri"/>
                <w:b/>
                <w:bCs/>
                <w:sz w:val="24"/>
                <w:szCs w:val="24"/>
                <w:lang w:val="ro-RO" w:eastAsia="ru-RU"/>
              </w:rPr>
              <w:t xml:space="preserve"> </w:t>
            </w:r>
            <w:r w:rsidRPr="00E15042">
              <w:rPr>
                <w:rFonts w:eastAsia="Calibri"/>
                <w:bCs/>
                <w:sz w:val="24"/>
                <w:szCs w:val="24"/>
                <w:lang w:val="ro-RO" w:eastAsia="ru-RU"/>
              </w:rPr>
              <w:t>de asistenţă juridică;</w:t>
            </w:r>
          </w:p>
        </w:tc>
      </w:tr>
      <w:tr w:rsidR="004F6623" w:rsidRPr="00891130" w:rsidTr="00DF118A">
        <w:trPr>
          <w:trHeight w:val="315"/>
        </w:trPr>
        <w:tc>
          <w:tcPr>
            <w:tcW w:w="336" w:type="pct"/>
          </w:tcPr>
          <w:p w:rsidR="004F6623" w:rsidRPr="00891130" w:rsidRDefault="004F6623" w:rsidP="00DF118A">
            <w:pPr>
              <w:ind w:firstLine="0"/>
              <w:jc w:val="center"/>
              <w:rPr>
                <w:sz w:val="24"/>
                <w:szCs w:val="24"/>
                <w:lang w:val="ro-RO"/>
              </w:rPr>
            </w:pPr>
            <w:r w:rsidRPr="00891130">
              <w:rPr>
                <w:sz w:val="24"/>
                <w:szCs w:val="24"/>
                <w:lang w:val="ro-RO"/>
              </w:rPr>
              <w:t>2.</w:t>
            </w:r>
          </w:p>
        </w:tc>
        <w:tc>
          <w:tcPr>
            <w:tcW w:w="2421" w:type="pct"/>
          </w:tcPr>
          <w:p w:rsidR="004F6623" w:rsidRPr="00891130" w:rsidRDefault="004F6623" w:rsidP="00DF118A">
            <w:pPr>
              <w:ind w:firstLine="0"/>
              <w:jc w:val="left"/>
              <w:rPr>
                <w:sz w:val="24"/>
                <w:szCs w:val="24"/>
                <w:lang w:val="ro-RO"/>
              </w:rPr>
            </w:pPr>
            <w:r w:rsidRPr="00891130">
              <w:rPr>
                <w:sz w:val="24"/>
                <w:szCs w:val="24"/>
                <w:lang w:val="ro-RO"/>
              </w:rPr>
              <w:t>Autoritatea care a elaborat proiectul</w:t>
            </w:r>
          </w:p>
          <w:p w:rsidR="004F6623" w:rsidRPr="00891130" w:rsidRDefault="004F6623" w:rsidP="00DF118A">
            <w:pPr>
              <w:ind w:firstLine="0"/>
              <w:jc w:val="left"/>
              <w:rPr>
                <w:sz w:val="24"/>
                <w:szCs w:val="24"/>
                <w:lang w:val="ro-RO"/>
              </w:rPr>
            </w:pPr>
          </w:p>
        </w:tc>
        <w:tc>
          <w:tcPr>
            <w:tcW w:w="2243" w:type="pct"/>
          </w:tcPr>
          <w:p w:rsidR="004F6623" w:rsidRPr="00891130" w:rsidRDefault="004F6623" w:rsidP="00DF118A">
            <w:pPr>
              <w:ind w:firstLine="0"/>
              <w:jc w:val="left"/>
              <w:rPr>
                <w:sz w:val="24"/>
                <w:szCs w:val="24"/>
                <w:lang w:val="ro-RO"/>
              </w:rPr>
            </w:pPr>
            <w:r w:rsidRPr="00891130">
              <w:rPr>
                <w:sz w:val="24"/>
                <w:szCs w:val="24"/>
                <w:lang w:val="ro-RO"/>
              </w:rPr>
              <w:t>Ministerul Justiției</w:t>
            </w:r>
          </w:p>
        </w:tc>
      </w:tr>
      <w:tr w:rsidR="004F6623" w:rsidRPr="00F474EF" w:rsidTr="00DF118A">
        <w:tc>
          <w:tcPr>
            <w:tcW w:w="336" w:type="pct"/>
          </w:tcPr>
          <w:p w:rsidR="004F6623" w:rsidRPr="00891130" w:rsidRDefault="004F6623" w:rsidP="00DF118A">
            <w:pPr>
              <w:ind w:firstLine="0"/>
              <w:jc w:val="center"/>
              <w:rPr>
                <w:sz w:val="24"/>
                <w:szCs w:val="24"/>
                <w:lang w:val="ro-RO"/>
              </w:rPr>
            </w:pPr>
            <w:r w:rsidRPr="00891130">
              <w:rPr>
                <w:sz w:val="24"/>
                <w:szCs w:val="24"/>
                <w:lang w:val="ro-RO"/>
              </w:rPr>
              <w:t>3.</w:t>
            </w:r>
          </w:p>
        </w:tc>
        <w:tc>
          <w:tcPr>
            <w:tcW w:w="2421" w:type="pct"/>
          </w:tcPr>
          <w:p w:rsidR="004F6623" w:rsidRPr="00891130" w:rsidRDefault="004F6623" w:rsidP="00DF118A">
            <w:pPr>
              <w:ind w:firstLine="0"/>
              <w:jc w:val="left"/>
              <w:rPr>
                <w:i/>
                <w:sz w:val="24"/>
                <w:szCs w:val="24"/>
                <w:lang w:val="ro-RO"/>
              </w:rPr>
            </w:pPr>
            <w:r w:rsidRPr="00891130">
              <w:rPr>
                <w:sz w:val="24"/>
                <w:szCs w:val="24"/>
                <w:lang w:val="ro-RO"/>
              </w:rPr>
              <w:t xml:space="preserve">Justificarea depunerii cererii </w:t>
            </w:r>
            <w:r w:rsidRPr="00891130">
              <w:rPr>
                <w:i/>
                <w:sz w:val="24"/>
                <w:szCs w:val="24"/>
                <w:lang w:val="ro-RO"/>
              </w:rPr>
              <w:t>(indicația corespunzătoare sau remarca precum că proiectul este elaborat din inițiativa autorului)</w:t>
            </w:r>
          </w:p>
          <w:p w:rsidR="004F6623" w:rsidRPr="00891130" w:rsidRDefault="004F6623" w:rsidP="00DF118A">
            <w:pPr>
              <w:ind w:firstLine="0"/>
              <w:jc w:val="left"/>
              <w:rPr>
                <w:sz w:val="24"/>
                <w:szCs w:val="24"/>
                <w:lang w:val="ro-RO"/>
              </w:rPr>
            </w:pPr>
          </w:p>
        </w:tc>
        <w:tc>
          <w:tcPr>
            <w:tcW w:w="2243" w:type="pct"/>
          </w:tcPr>
          <w:p w:rsidR="004F6623" w:rsidRPr="004F09B8" w:rsidRDefault="004F6623" w:rsidP="00DF118A">
            <w:pPr>
              <w:ind w:firstLine="0"/>
              <w:jc w:val="left"/>
              <w:rPr>
                <w:color w:val="000000"/>
                <w:sz w:val="24"/>
                <w:szCs w:val="24"/>
                <w:lang w:val="ro-RO" w:eastAsia="ru-RU"/>
              </w:rPr>
            </w:pPr>
            <w:r>
              <w:rPr>
                <w:sz w:val="24"/>
                <w:szCs w:val="24"/>
                <w:lang w:val="ro-RO"/>
              </w:rPr>
              <w:t>Proiect elaborat de Ministerul</w:t>
            </w:r>
            <w:r w:rsidRPr="00F43C61">
              <w:rPr>
                <w:sz w:val="24"/>
                <w:szCs w:val="24"/>
                <w:lang w:val="ro-RO"/>
              </w:rPr>
              <w:t xml:space="preserve"> Justiției </w:t>
            </w:r>
            <w:r w:rsidRPr="00F43C61">
              <w:rPr>
                <w:rFonts w:eastAsiaTheme="minorHAnsi"/>
                <w:sz w:val="24"/>
                <w:szCs w:val="24"/>
                <w:lang w:val="ro-RO"/>
              </w:rPr>
              <w:t>în</w:t>
            </w:r>
            <w:r w:rsidRPr="00F43C61">
              <w:rPr>
                <w:rFonts w:eastAsiaTheme="minorHAnsi"/>
                <w:sz w:val="24"/>
                <w:szCs w:val="24"/>
                <w:lang w:val="ro-RO" w:eastAsia="ru-RU"/>
              </w:rPr>
              <w:t xml:space="preserve"> scopul </w:t>
            </w:r>
            <w:r>
              <w:rPr>
                <w:sz w:val="24"/>
                <w:szCs w:val="24"/>
                <w:lang w:val="ro-RO" w:eastAsia="ru-RU"/>
              </w:rPr>
              <w:t xml:space="preserve">executării obligaţiei de plată a </w:t>
            </w:r>
            <w:r w:rsidRPr="009707FE">
              <w:rPr>
                <w:sz w:val="24"/>
                <w:szCs w:val="24"/>
                <w:lang w:eastAsia="ru-RU"/>
              </w:rPr>
              <w:t>onorariilor</w:t>
            </w:r>
            <w:r w:rsidRPr="009707FE">
              <w:rPr>
                <w:sz w:val="24"/>
                <w:szCs w:val="24"/>
                <w:lang w:val="ro-RO" w:eastAsia="ru-RU"/>
              </w:rPr>
              <w:t xml:space="preserve"> companiei de avocatură „Steptoe </w:t>
            </w:r>
            <w:r w:rsidRPr="009707FE">
              <w:rPr>
                <w:sz w:val="24"/>
                <w:szCs w:val="24"/>
                <w:lang w:eastAsia="ru-RU"/>
              </w:rPr>
              <w:t>&amp; Johnson</w:t>
            </w:r>
            <w:r>
              <w:rPr>
                <w:sz w:val="24"/>
                <w:szCs w:val="24"/>
                <w:lang w:eastAsia="ru-RU"/>
              </w:rPr>
              <w:t>”</w:t>
            </w:r>
            <w:r w:rsidRPr="009707FE">
              <w:rPr>
                <w:sz w:val="24"/>
                <w:szCs w:val="24"/>
                <w:lang w:eastAsia="ru-RU"/>
              </w:rPr>
              <w:t xml:space="preserve"> LLP (Washington, SUA) </w:t>
            </w:r>
            <w:r w:rsidRPr="009707FE">
              <w:rPr>
                <w:sz w:val="24"/>
                <w:szCs w:val="24"/>
                <w:lang w:val="ro-RO" w:eastAsia="ru-RU"/>
              </w:rPr>
              <w:t>în parteneriat cu</w:t>
            </w:r>
            <w:r>
              <w:rPr>
                <w:sz w:val="24"/>
                <w:szCs w:val="24"/>
                <w:lang w:val="it-IT" w:eastAsia="ru-RU"/>
              </w:rPr>
              <w:t xml:space="preserve"> Biroul asociat de avocaţi </w:t>
            </w:r>
            <w:r w:rsidRPr="009707FE">
              <w:rPr>
                <w:sz w:val="24"/>
                <w:szCs w:val="24"/>
                <w:lang w:val="ro-RO" w:eastAsia="ru-RU"/>
              </w:rPr>
              <w:t>„</w:t>
            </w:r>
            <w:r w:rsidRPr="009707FE">
              <w:rPr>
                <w:sz w:val="24"/>
                <w:szCs w:val="24"/>
                <w:lang w:val="it-IT" w:eastAsia="ru-RU"/>
              </w:rPr>
              <w:t>Tănase &amp; Partenerii” (Republica Moldova)</w:t>
            </w:r>
            <w:r>
              <w:rPr>
                <w:sz w:val="24"/>
                <w:szCs w:val="24"/>
                <w:lang w:eastAsia="ru-RU"/>
              </w:rPr>
              <w:t xml:space="preserve"> pentru reprezentarea</w:t>
            </w:r>
            <w:r w:rsidRPr="009707FE">
              <w:rPr>
                <w:sz w:val="24"/>
                <w:szCs w:val="24"/>
                <w:lang w:eastAsia="ru-RU"/>
              </w:rPr>
              <w:t xml:space="preserve"> intereselor statului </w:t>
            </w:r>
            <w:r w:rsidRPr="009707FE">
              <w:rPr>
                <w:bCs/>
                <w:sz w:val="24"/>
                <w:szCs w:val="24"/>
                <w:lang w:eastAsia="ru-RU"/>
              </w:rPr>
              <w:t>în acţiunea înaintată de</w:t>
            </w:r>
            <w:r w:rsidRPr="009707FE">
              <w:rPr>
                <w:b/>
                <w:bCs/>
                <w:sz w:val="24"/>
                <w:szCs w:val="24"/>
                <w:lang w:eastAsia="ru-RU"/>
              </w:rPr>
              <w:t xml:space="preserve"> </w:t>
            </w:r>
            <w:r w:rsidRPr="009707FE">
              <w:rPr>
                <w:sz w:val="24"/>
                <w:szCs w:val="24"/>
                <w:lang w:eastAsia="ru-RU"/>
              </w:rPr>
              <w:t xml:space="preserve">Gater Assets Limited </w:t>
            </w:r>
            <w:r w:rsidRPr="009707FE">
              <w:rPr>
                <w:iCs/>
                <w:sz w:val="24"/>
                <w:szCs w:val="24"/>
                <w:lang w:eastAsia="ru-RU"/>
              </w:rPr>
              <w:t>împotriva Republicii Moldova</w:t>
            </w:r>
            <w:r w:rsidRPr="00D05102">
              <w:rPr>
                <w:sz w:val="24"/>
                <w:szCs w:val="24"/>
                <w:lang w:eastAsia="ru-RU"/>
              </w:rPr>
              <w:t xml:space="preserve"> alătur</w:t>
            </w:r>
            <w:r>
              <w:rPr>
                <w:sz w:val="24"/>
                <w:szCs w:val="24"/>
                <w:lang w:eastAsia="ru-RU"/>
              </w:rPr>
              <w:t xml:space="preserve">i de SC </w:t>
            </w:r>
            <w:r>
              <w:rPr>
                <w:sz w:val="24"/>
                <w:szCs w:val="24"/>
                <w:lang w:val="ro-RO" w:eastAsia="ru-RU"/>
              </w:rPr>
              <w:t>„</w:t>
            </w:r>
            <w:r>
              <w:rPr>
                <w:sz w:val="24"/>
                <w:szCs w:val="24"/>
                <w:lang w:eastAsia="ru-RU"/>
              </w:rPr>
              <w:t xml:space="preserve">Gazsnabtranzit” SA şi SC </w:t>
            </w:r>
            <w:r>
              <w:rPr>
                <w:sz w:val="24"/>
                <w:szCs w:val="24"/>
                <w:lang w:val="ro-RO" w:eastAsia="ru-RU"/>
              </w:rPr>
              <w:t>„</w:t>
            </w:r>
            <w:r w:rsidRPr="00D05102">
              <w:rPr>
                <w:sz w:val="24"/>
                <w:szCs w:val="24"/>
                <w:lang w:eastAsia="ru-RU"/>
              </w:rPr>
              <w:t>Moldovagaz”</w:t>
            </w:r>
            <w:r>
              <w:rPr>
                <w:sz w:val="24"/>
                <w:szCs w:val="24"/>
                <w:lang w:eastAsia="ru-RU"/>
              </w:rPr>
              <w:t xml:space="preserve"> SA</w:t>
            </w:r>
            <w:r>
              <w:rPr>
                <w:i/>
                <w:iCs/>
                <w:sz w:val="24"/>
                <w:szCs w:val="24"/>
                <w:lang w:eastAsia="ru-RU"/>
              </w:rPr>
              <w:t xml:space="preserve">, </w:t>
            </w:r>
            <w:r w:rsidRPr="005A56CD">
              <w:rPr>
                <w:iCs/>
                <w:sz w:val="24"/>
                <w:szCs w:val="24"/>
                <w:lang w:eastAsia="ru-RU"/>
              </w:rPr>
              <w:t xml:space="preserve">la </w:t>
            </w:r>
            <w:r>
              <w:rPr>
                <w:iCs/>
                <w:sz w:val="24"/>
                <w:szCs w:val="24"/>
                <w:lang w:eastAsia="ru-RU"/>
              </w:rPr>
              <w:t>Curtea</w:t>
            </w:r>
            <w:r w:rsidRPr="009707FE">
              <w:rPr>
                <w:iCs/>
                <w:sz w:val="24"/>
                <w:szCs w:val="24"/>
                <w:lang w:eastAsia="ru-RU"/>
              </w:rPr>
              <w:t xml:space="preserve"> de Apel a Statelor Unite pentru al Doilea</w:t>
            </w:r>
            <w:r w:rsidRPr="009707FE">
              <w:rPr>
                <w:sz w:val="24"/>
                <w:szCs w:val="24"/>
                <w:lang w:eastAsia="ru-RU"/>
              </w:rPr>
              <w:t xml:space="preserve"> </w:t>
            </w:r>
            <w:r w:rsidRPr="009707FE">
              <w:rPr>
                <w:iCs/>
                <w:sz w:val="24"/>
                <w:szCs w:val="24"/>
                <w:lang w:eastAsia="ru-RU"/>
              </w:rPr>
              <w:t>Circuit</w:t>
            </w:r>
            <w:r w:rsidRPr="009707FE">
              <w:rPr>
                <w:sz w:val="24"/>
                <w:szCs w:val="24"/>
                <w:lang w:eastAsia="ru-RU"/>
              </w:rPr>
              <w:t xml:space="preserve"> </w:t>
            </w:r>
            <w:r w:rsidRPr="009707FE">
              <w:rPr>
                <w:iCs/>
                <w:sz w:val="24"/>
                <w:szCs w:val="24"/>
                <w:lang w:eastAsia="ru-RU"/>
              </w:rPr>
              <w:t>(SUA)</w:t>
            </w:r>
          </w:p>
        </w:tc>
      </w:tr>
      <w:tr w:rsidR="004F6623" w:rsidRPr="00891130" w:rsidTr="00DF118A">
        <w:tc>
          <w:tcPr>
            <w:tcW w:w="336" w:type="pct"/>
          </w:tcPr>
          <w:p w:rsidR="004F6623" w:rsidRPr="00891130" w:rsidRDefault="004F6623" w:rsidP="00DF118A">
            <w:pPr>
              <w:ind w:firstLine="0"/>
              <w:jc w:val="center"/>
              <w:rPr>
                <w:sz w:val="24"/>
                <w:szCs w:val="24"/>
                <w:lang w:val="ro-RO"/>
              </w:rPr>
            </w:pPr>
            <w:r w:rsidRPr="00891130">
              <w:rPr>
                <w:sz w:val="24"/>
                <w:szCs w:val="24"/>
                <w:lang w:val="ro-RO"/>
              </w:rPr>
              <w:t>4.</w:t>
            </w:r>
          </w:p>
        </w:tc>
        <w:tc>
          <w:tcPr>
            <w:tcW w:w="2421" w:type="pct"/>
          </w:tcPr>
          <w:p w:rsidR="004F6623" w:rsidRPr="00891130" w:rsidRDefault="004F6623" w:rsidP="00DF118A">
            <w:pPr>
              <w:ind w:firstLine="0"/>
              <w:jc w:val="left"/>
              <w:rPr>
                <w:sz w:val="24"/>
                <w:szCs w:val="24"/>
                <w:lang w:val="ro-RO"/>
              </w:rPr>
            </w:pPr>
            <w:r w:rsidRPr="00891130">
              <w:rPr>
                <w:sz w:val="24"/>
                <w:szCs w:val="24"/>
                <w:lang w:val="ro-RO"/>
              </w:rPr>
              <w:t>Lista autorităților și instituțiilor a căror avizare este necesară</w:t>
            </w:r>
          </w:p>
          <w:p w:rsidR="004F6623" w:rsidRPr="00891130" w:rsidRDefault="004F6623" w:rsidP="00DF118A">
            <w:pPr>
              <w:ind w:firstLine="0"/>
              <w:jc w:val="left"/>
              <w:rPr>
                <w:sz w:val="24"/>
                <w:szCs w:val="24"/>
                <w:lang w:val="ro-RO"/>
              </w:rPr>
            </w:pPr>
          </w:p>
        </w:tc>
        <w:tc>
          <w:tcPr>
            <w:tcW w:w="2243" w:type="pct"/>
          </w:tcPr>
          <w:p w:rsidR="004F6623" w:rsidRPr="00891130" w:rsidRDefault="004F6623" w:rsidP="00DF118A">
            <w:pPr>
              <w:numPr>
                <w:ilvl w:val="0"/>
                <w:numId w:val="2"/>
              </w:numPr>
              <w:spacing w:after="200" w:line="276" w:lineRule="auto"/>
              <w:ind w:left="262" w:hanging="283"/>
              <w:contextualSpacing/>
              <w:jc w:val="left"/>
              <w:rPr>
                <w:sz w:val="24"/>
                <w:szCs w:val="24"/>
                <w:lang w:val="ro-RO" w:eastAsia="ru-RU"/>
              </w:rPr>
            </w:pPr>
            <w:r w:rsidRPr="00891130">
              <w:rPr>
                <w:sz w:val="24"/>
                <w:szCs w:val="24"/>
                <w:lang w:val="ro-RO" w:eastAsia="ru-RU"/>
              </w:rPr>
              <w:t>Ministerul Finanțelor;</w:t>
            </w:r>
          </w:p>
          <w:p w:rsidR="004F6623" w:rsidRDefault="004F6623" w:rsidP="00DF118A">
            <w:pPr>
              <w:numPr>
                <w:ilvl w:val="0"/>
                <w:numId w:val="2"/>
              </w:numPr>
              <w:tabs>
                <w:tab w:val="left" w:pos="262"/>
                <w:tab w:val="left" w:pos="1538"/>
              </w:tabs>
              <w:spacing w:after="200" w:line="276" w:lineRule="auto"/>
              <w:ind w:left="0" w:hanging="21"/>
              <w:contextualSpacing/>
              <w:jc w:val="left"/>
              <w:rPr>
                <w:sz w:val="24"/>
                <w:szCs w:val="24"/>
                <w:lang w:val="ro-RO" w:eastAsia="ru-RU"/>
              </w:rPr>
            </w:pPr>
            <w:r w:rsidRPr="00891130">
              <w:rPr>
                <w:sz w:val="24"/>
                <w:szCs w:val="24"/>
                <w:lang w:val="ro-RO" w:eastAsia="ru-RU"/>
              </w:rPr>
              <w:t>Ministe</w:t>
            </w:r>
            <w:r>
              <w:rPr>
                <w:sz w:val="24"/>
                <w:szCs w:val="24"/>
                <w:lang w:val="ro-RO" w:eastAsia="ru-RU"/>
              </w:rPr>
              <w:t xml:space="preserve">rul Infrastructurii şi Dezvoltării </w:t>
            </w:r>
          </w:p>
          <w:p w:rsidR="004F6623" w:rsidRPr="00891130" w:rsidRDefault="004F6623" w:rsidP="00DF118A">
            <w:pPr>
              <w:tabs>
                <w:tab w:val="left" w:pos="262"/>
                <w:tab w:val="left" w:pos="1538"/>
              </w:tabs>
              <w:spacing w:after="200" w:line="276" w:lineRule="auto"/>
              <w:ind w:firstLine="0"/>
              <w:contextualSpacing/>
              <w:jc w:val="left"/>
              <w:rPr>
                <w:sz w:val="24"/>
                <w:szCs w:val="24"/>
                <w:lang w:val="ro-RO" w:eastAsia="ru-RU"/>
              </w:rPr>
            </w:pPr>
            <w:r>
              <w:rPr>
                <w:sz w:val="24"/>
                <w:szCs w:val="24"/>
                <w:lang w:val="ro-RO" w:eastAsia="ru-RU"/>
              </w:rPr>
              <w:t xml:space="preserve">    Regionale</w:t>
            </w:r>
            <w:r w:rsidRPr="00891130">
              <w:rPr>
                <w:sz w:val="24"/>
                <w:szCs w:val="24"/>
                <w:lang w:val="ro-RO" w:eastAsia="ru-RU"/>
              </w:rPr>
              <w:t>;</w:t>
            </w:r>
          </w:p>
          <w:p w:rsidR="004F6623" w:rsidRPr="00891130" w:rsidRDefault="004F6623" w:rsidP="00DF118A">
            <w:pPr>
              <w:numPr>
                <w:ilvl w:val="0"/>
                <w:numId w:val="2"/>
              </w:numPr>
              <w:spacing w:after="200" w:line="276" w:lineRule="auto"/>
              <w:ind w:left="262" w:hanging="283"/>
              <w:contextualSpacing/>
              <w:jc w:val="left"/>
              <w:rPr>
                <w:sz w:val="24"/>
                <w:szCs w:val="24"/>
                <w:lang w:val="ro-RO" w:eastAsia="ru-RU"/>
              </w:rPr>
            </w:pPr>
            <w:r w:rsidRPr="00891130">
              <w:rPr>
                <w:sz w:val="24"/>
                <w:szCs w:val="24"/>
                <w:lang w:val="ro-RO" w:eastAsia="ru-RU"/>
              </w:rPr>
              <w:t>Centrul Național Anticorupție;</w:t>
            </w:r>
          </w:p>
          <w:p w:rsidR="004F6623" w:rsidRPr="00891130" w:rsidRDefault="004F6623" w:rsidP="00DF118A">
            <w:pPr>
              <w:numPr>
                <w:ilvl w:val="0"/>
                <w:numId w:val="2"/>
              </w:numPr>
              <w:spacing w:after="200" w:line="276" w:lineRule="auto"/>
              <w:ind w:left="262" w:hanging="283"/>
              <w:contextualSpacing/>
              <w:jc w:val="left"/>
              <w:rPr>
                <w:sz w:val="24"/>
                <w:szCs w:val="24"/>
                <w:lang w:val="ro-RO" w:eastAsia="ru-RU"/>
              </w:rPr>
            </w:pPr>
            <w:r w:rsidRPr="00891130">
              <w:rPr>
                <w:sz w:val="24"/>
                <w:szCs w:val="24"/>
                <w:lang w:val="ro-RO" w:eastAsia="ru-RU"/>
              </w:rPr>
              <w:t>Cancelaria de Stat.</w:t>
            </w:r>
          </w:p>
        </w:tc>
      </w:tr>
      <w:tr w:rsidR="004F6623" w:rsidRPr="00891130" w:rsidTr="00DF118A">
        <w:tc>
          <w:tcPr>
            <w:tcW w:w="336" w:type="pct"/>
          </w:tcPr>
          <w:p w:rsidR="004F6623" w:rsidRPr="00891130" w:rsidRDefault="004F6623" w:rsidP="00DF118A">
            <w:pPr>
              <w:ind w:firstLine="0"/>
              <w:jc w:val="center"/>
              <w:rPr>
                <w:sz w:val="24"/>
                <w:szCs w:val="24"/>
                <w:lang w:val="ro-RO"/>
              </w:rPr>
            </w:pPr>
            <w:r w:rsidRPr="00891130">
              <w:rPr>
                <w:sz w:val="24"/>
                <w:szCs w:val="24"/>
                <w:lang w:val="ro-RO"/>
              </w:rPr>
              <w:t>5.</w:t>
            </w:r>
          </w:p>
        </w:tc>
        <w:tc>
          <w:tcPr>
            <w:tcW w:w="2421" w:type="pct"/>
          </w:tcPr>
          <w:p w:rsidR="004F6623" w:rsidRPr="00891130" w:rsidRDefault="004F6623" w:rsidP="00DF118A">
            <w:pPr>
              <w:ind w:firstLine="0"/>
              <w:jc w:val="left"/>
              <w:rPr>
                <w:sz w:val="24"/>
                <w:szCs w:val="24"/>
                <w:lang w:val="ro-RO"/>
              </w:rPr>
            </w:pPr>
            <w:r w:rsidRPr="00891130">
              <w:rPr>
                <w:sz w:val="24"/>
                <w:szCs w:val="24"/>
                <w:lang w:val="ro-RO"/>
              </w:rPr>
              <w:t>Termenul-limită pentru depunerea avizelor/expertizelor</w:t>
            </w:r>
          </w:p>
        </w:tc>
        <w:tc>
          <w:tcPr>
            <w:tcW w:w="2243" w:type="pct"/>
          </w:tcPr>
          <w:p w:rsidR="004F6623" w:rsidRPr="00891130" w:rsidRDefault="004F6623" w:rsidP="00DF118A">
            <w:pPr>
              <w:ind w:firstLine="0"/>
              <w:jc w:val="center"/>
              <w:rPr>
                <w:sz w:val="24"/>
                <w:szCs w:val="24"/>
                <w:lang w:val="ro-RO"/>
              </w:rPr>
            </w:pPr>
            <w:r w:rsidRPr="00891130">
              <w:rPr>
                <w:sz w:val="24"/>
                <w:szCs w:val="24"/>
                <w:lang w:val="ro-RO"/>
              </w:rPr>
              <w:t>1</w:t>
            </w:r>
            <w:r>
              <w:rPr>
                <w:sz w:val="24"/>
                <w:szCs w:val="24"/>
                <w:lang w:val="ro-RO"/>
              </w:rPr>
              <w:t>0</w:t>
            </w:r>
            <w:r w:rsidRPr="00891130">
              <w:rPr>
                <w:sz w:val="24"/>
                <w:szCs w:val="24"/>
                <w:lang w:val="ro-RO"/>
              </w:rPr>
              <w:t xml:space="preserve"> zi</w:t>
            </w:r>
            <w:r>
              <w:rPr>
                <w:sz w:val="24"/>
                <w:szCs w:val="24"/>
                <w:lang w:val="ro-RO"/>
              </w:rPr>
              <w:t>le</w:t>
            </w:r>
          </w:p>
        </w:tc>
      </w:tr>
      <w:tr w:rsidR="004F6623" w:rsidRPr="00891130" w:rsidTr="00DF118A">
        <w:tc>
          <w:tcPr>
            <w:tcW w:w="336" w:type="pct"/>
          </w:tcPr>
          <w:p w:rsidR="004F6623" w:rsidRPr="00891130" w:rsidRDefault="004F6623" w:rsidP="00DF118A">
            <w:pPr>
              <w:ind w:firstLine="0"/>
              <w:jc w:val="center"/>
              <w:rPr>
                <w:sz w:val="24"/>
                <w:szCs w:val="24"/>
                <w:lang w:val="ro-RO"/>
              </w:rPr>
            </w:pPr>
            <w:r w:rsidRPr="00891130">
              <w:rPr>
                <w:sz w:val="24"/>
                <w:szCs w:val="24"/>
                <w:lang w:val="ro-RO"/>
              </w:rPr>
              <w:t>6.</w:t>
            </w:r>
          </w:p>
        </w:tc>
        <w:tc>
          <w:tcPr>
            <w:tcW w:w="2421" w:type="pct"/>
          </w:tcPr>
          <w:p w:rsidR="004F6623" w:rsidRPr="00891130" w:rsidRDefault="004F6623" w:rsidP="00DF118A">
            <w:pPr>
              <w:ind w:firstLine="0"/>
              <w:jc w:val="left"/>
              <w:rPr>
                <w:bCs/>
                <w:sz w:val="24"/>
                <w:szCs w:val="24"/>
                <w:lang w:val="ro-RO" w:eastAsia="ru-RU"/>
              </w:rPr>
            </w:pPr>
            <w:r w:rsidRPr="00891130">
              <w:rPr>
                <w:bCs/>
                <w:sz w:val="24"/>
                <w:szCs w:val="24"/>
                <w:lang w:val="ro-RO" w:eastAsia="ru-RU"/>
              </w:rPr>
              <w:t>Numele, prenumele, funcția și datele de contact  ale persoanei responsabile de promovarea proiectului</w:t>
            </w:r>
          </w:p>
          <w:p w:rsidR="004F6623" w:rsidRPr="00891130" w:rsidRDefault="004F6623" w:rsidP="00DF118A">
            <w:pPr>
              <w:ind w:firstLine="0"/>
              <w:jc w:val="left"/>
              <w:rPr>
                <w:sz w:val="24"/>
                <w:szCs w:val="24"/>
                <w:lang w:val="ro-RO"/>
              </w:rPr>
            </w:pPr>
          </w:p>
        </w:tc>
        <w:tc>
          <w:tcPr>
            <w:tcW w:w="2243" w:type="pct"/>
          </w:tcPr>
          <w:p w:rsidR="004F6623" w:rsidRPr="00891130" w:rsidRDefault="004F6623" w:rsidP="00DF118A">
            <w:pPr>
              <w:spacing w:after="200"/>
              <w:ind w:firstLine="0"/>
              <w:contextualSpacing/>
              <w:jc w:val="left"/>
              <w:rPr>
                <w:bCs/>
                <w:sz w:val="24"/>
                <w:szCs w:val="24"/>
                <w:lang w:val="ro-RO" w:eastAsia="ru-RU"/>
              </w:rPr>
            </w:pPr>
            <w:r w:rsidRPr="00891130">
              <w:rPr>
                <w:bCs/>
                <w:sz w:val="24"/>
                <w:szCs w:val="24"/>
                <w:lang w:val="ro-RO" w:eastAsia="ru-RU"/>
              </w:rPr>
              <w:t xml:space="preserve">Cachiţa Constantin, </w:t>
            </w:r>
          </w:p>
          <w:p w:rsidR="004F6623" w:rsidRPr="00891130" w:rsidRDefault="004F6623" w:rsidP="00DF118A">
            <w:pPr>
              <w:spacing w:after="200"/>
              <w:ind w:firstLine="0"/>
              <w:contextualSpacing/>
              <w:jc w:val="left"/>
              <w:rPr>
                <w:bCs/>
                <w:sz w:val="24"/>
                <w:szCs w:val="24"/>
                <w:lang w:val="ro-RO" w:eastAsia="ru-RU"/>
              </w:rPr>
            </w:pPr>
            <w:r w:rsidRPr="00891130">
              <w:rPr>
                <w:bCs/>
                <w:sz w:val="24"/>
                <w:szCs w:val="24"/>
                <w:lang w:val="ro-RO" w:eastAsia="ru-RU"/>
              </w:rPr>
              <w:t>şef al Direcției contencios</w:t>
            </w:r>
          </w:p>
          <w:p w:rsidR="004F6623" w:rsidRPr="00891130" w:rsidRDefault="004F6623" w:rsidP="00DF118A">
            <w:pPr>
              <w:spacing w:after="200"/>
              <w:ind w:firstLine="0"/>
              <w:contextualSpacing/>
              <w:jc w:val="left"/>
              <w:rPr>
                <w:bCs/>
                <w:sz w:val="24"/>
                <w:szCs w:val="24"/>
                <w:lang w:val="ro-RO" w:eastAsia="ru-RU"/>
              </w:rPr>
            </w:pPr>
            <w:r w:rsidRPr="00891130">
              <w:rPr>
                <w:bCs/>
                <w:sz w:val="24"/>
                <w:szCs w:val="24"/>
                <w:lang w:val="ro-RO" w:eastAsia="ru-RU"/>
              </w:rPr>
              <w:t xml:space="preserve">Email: </w:t>
            </w:r>
            <w:hyperlink r:id="rId6" w:history="1">
              <w:r w:rsidRPr="00891130">
                <w:rPr>
                  <w:bCs/>
                  <w:color w:val="0000FF"/>
                  <w:sz w:val="24"/>
                  <w:szCs w:val="24"/>
                  <w:u w:val="single"/>
                  <w:lang w:val="ro-RO" w:eastAsia="ru-RU"/>
                </w:rPr>
                <w:t>constantin.cachiţa@justice.gov.md</w:t>
              </w:r>
            </w:hyperlink>
          </w:p>
          <w:p w:rsidR="004F6623" w:rsidRPr="00891130" w:rsidRDefault="004F6623" w:rsidP="00DF118A">
            <w:pPr>
              <w:ind w:firstLine="0"/>
              <w:contextualSpacing/>
              <w:jc w:val="left"/>
              <w:rPr>
                <w:sz w:val="24"/>
                <w:szCs w:val="24"/>
                <w:lang w:val="ro-RO"/>
              </w:rPr>
            </w:pPr>
            <w:r w:rsidRPr="00891130">
              <w:rPr>
                <w:bCs/>
                <w:sz w:val="24"/>
                <w:szCs w:val="24"/>
                <w:lang w:val="ro-RO" w:eastAsia="ru-RU"/>
              </w:rPr>
              <w:t>Tel.: (022) 201 407</w:t>
            </w:r>
          </w:p>
        </w:tc>
      </w:tr>
      <w:tr w:rsidR="004F6623" w:rsidRPr="00891130" w:rsidTr="00DF118A">
        <w:tc>
          <w:tcPr>
            <w:tcW w:w="336" w:type="pct"/>
          </w:tcPr>
          <w:p w:rsidR="004F6623" w:rsidRPr="00891130" w:rsidRDefault="004F6623" w:rsidP="00DF118A">
            <w:pPr>
              <w:ind w:firstLine="0"/>
              <w:jc w:val="center"/>
              <w:rPr>
                <w:sz w:val="24"/>
                <w:szCs w:val="24"/>
                <w:lang w:val="ro-RO"/>
              </w:rPr>
            </w:pPr>
            <w:r w:rsidRPr="00891130">
              <w:rPr>
                <w:sz w:val="24"/>
                <w:szCs w:val="24"/>
                <w:lang w:val="ro-RO"/>
              </w:rPr>
              <w:t>7.</w:t>
            </w:r>
          </w:p>
        </w:tc>
        <w:tc>
          <w:tcPr>
            <w:tcW w:w="2421" w:type="pct"/>
          </w:tcPr>
          <w:p w:rsidR="004F6623" w:rsidRPr="00891130" w:rsidRDefault="004F6623" w:rsidP="00DF118A">
            <w:pPr>
              <w:ind w:firstLine="0"/>
              <w:jc w:val="left"/>
              <w:rPr>
                <w:sz w:val="24"/>
                <w:szCs w:val="24"/>
                <w:lang w:val="ro-RO"/>
              </w:rPr>
            </w:pPr>
            <w:r w:rsidRPr="00891130">
              <w:rPr>
                <w:sz w:val="24"/>
                <w:szCs w:val="24"/>
                <w:lang w:val="ro-RO"/>
              </w:rPr>
              <w:t xml:space="preserve">Anexe </w:t>
            </w:r>
            <w:r w:rsidRPr="00891130">
              <w:rPr>
                <w:i/>
                <w:sz w:val="24"/>
                <w:szCs w:val="24"/>
                <w:lang w:val="ro-RO"/>
              </w:rPr>
              <w:t>(proiectul actului care se solicită a fi înregistrat, nota informativă cu documentele de însoțire)</w:t>
            </w:r>
          </w:p>
        </w:tc>
        <w:tc>
          <w:tcPr>
            <w:tcW w:w="2243" w:type="pct"/>
          </w:tcPr>
          <w:p w:rsidR="004F6623" w:rsidRPr="00891130" w:rsidRDefault="004F6623" w:rsidP="00DF118A">
            <w:pPr>
              <w:tabs>
                <w:tab w:val="left" w:pos="288"/>
              </w:tabs>
              <w:ind w:firstLine="0"/>
              <w:rPr>
                <w:sz w:val="24"/>
                <w:szCs w:val="24"/>
                <w:lang w:val="ro-RO"/>
              </w:rPr>
            </w:pPr>
            <w:r w:rsidRPr="00891130">
              <w:rPr>
                <w:sz w:val="24"/>
                <w:szCs w:val="24"/>
                <w:lang w:val="ro-RO"/>
              </w:rPr>
              <w:t>-</w:t>
            </w:r>
            <w:r w:rsidRPr="00891130">
              <w:rPr>
                <w:sz w:val="24"/>
                <w:szCs w:val="24"/>
                <w:lang w:val="ro-RO"/>
              </w:rPr>
              <w:tab/>
              <w:t>Proiectul – 1 filă;</w:t>
            </w:r>
          </w:p>
          <w:p w:rsidR="004F6623" w:rsidRPr="00891130" w:rsidRDefault="004F6623" w:rsidP="00DF118A">
            <w:pPr>
              <w:tabs>
                <w:tab w:val="left" w:pos="288"/>
              </w:tabs>
              <w:ind w:firstLine="0"/>
              <w:rPr>
                <w:sz w:val="24"/>
                <w:szCs w:val="24"/>
                <w:lang w:val="ro-RO"/>
              </w:rPr>
            </w:pPr>
            <w:r w:rsidRPr="00891130">
              <w:rPr>
                <w:sz w:val="24"/>
                <w:szCs w:val="24"/>
                <w:lang w:val="ro-RO"/>
              </w:rPr>
              <w:t>-</w:t>
            </w:r>
            <w:r w:rsidRPr="00891130">
              <w:rPr>
                <w:sz w:val="24"/>
                <w:szCs w:val="24"/>
                <w:lang w:val="ro-RO"/>
              </w:rPr>
              <w:tab/>
              <w:t>Nota informativă – 2 file.</w:t>
            </w:r>
          </w:p>
        </w:tc>
      </w:tr>
      <w:tr w:rsidR="004F6623" w:rsidRPr="00891130" w:rsidTr="00DF118A">
        <w:tc>
          <w:tcPr>
            <w:tcW w:w="336" w:type="pct"/>
          </w:tcPr>
          <w:p w:rsidR="004F6623" w:rsidRPr="00891130" w:rsidRDefault="004F6623" w:rsidP="00DF118A">
            <w:pPr>
              <w:ind w:firstLine="0"/>
              <w:jc w:val="center"/>
              <w:rPr>
                <w:sz w:val="24"/>
                <w:szCs w:val="24"/>
                <w:lang w:val="ro-RO"/>
              </w:rPr>
            </w:pPr>
            <w:r w:rsidRPr="00891130">
              <w:rPr>
                <w:sz w:val="24"/>
                <w:szCs w:val="24"/>
                <w:lang w:val="ro-RO"/>
              </w:rPr>
              <w:t>8.</w:t>
            </w:r>
          </w:p>
        </w:tc>
        <w:tc>
          <w:tcPr>
            <w:tcW w:w="2421" w:type="pct"/>
          </w:tcPr>
          <w:p w:rsidR="004F6623" w:rsidRPr="00891130" w:rsidRDefault="004F6623" w:rsidP="00DF118A">
            <w:pPr>
              <w:ind w:firstLine="0"/>
              <w:jc w:val="left"/>
              <w:rPr>
                <w:sz w:val="24"/>
                <w:szCs w:val="24"/>
                <w:lang w:val="ro-RO"/>
              </w:rPr>
            </w:pPr>
            <w:r w:rsidRPr="00891130">
              <w:rPr>
                <w:sz w:val="24"/>
                <w:szCs w:val="24"/>
                <w:lang w:val="ro-RO"/>
              </w:rPr>
              <w:t>Data și ora depunerii cererii</w:t>
            </w:r>
          </w:p>
          <w:p w:rsidR="004F6623" w:rsidRPr="00891130" w:rsidRDefault="004F6623" w:rsidP="00DF118A">
            <w:pPr>
              <w:ind w:firstLine="0"/>
              <w:jc w:val="left"/>
              <w:rPr>
                <w:sz w:val="24"/>
                <w:szCs w:val="24"/>
                <w:lang w:val="ro-RO"/>
              </w:rPr>
            </w:pPr>
          </w:p>
        </w:tc>
        <w:tc>
          <w:tcPr>
            <w:tcW w:w="2243" w:type="pct"/>
          </w:tcPr>
          <w:p w:rsidR="004F6623" w:rsidRPr="00891130" w:rsidRDefault="004F6623" w:rsidP="00DF118A">
            <w:pPr>
              <w:ind w:firstLine="0"/>
              <w:jc w:val="center"/>
              <w:rPr>
                <w:sz w:val="24"/>
                <w:szCs w:val="24"/>
                <w:lang w:val="ro-RO"/>
              </w:rPr>
            </w:pPr>
          </w:p>
        </w:tc>
      </w:tr>
      <w:tr w:rsidR="004F6623" w:rsidRPr="00891130" w:rsidTr="00DF118A">
        <w:tc>
          <w:tcPr>
            <w:tcW w:w="336" w:type="pct"/>
          </w:tcPr>
          <w:p w:rsidR="004F6623" w:rsidRPr="00891130" w:rsidRDefault="004F6623" w:rsidP="00DF118A">
            <w:pPr>
              <w:ind w:firstLine="0"/>
              <w:jc w:val="center"/>
              <w:rPr>
                <w:sz w:val="24"/>
                <w:szCs w:val="24"/>
                <w:lang w:val="ro-RO"/>
              </w:rPr>
            </w:pPr>
            <w:r w:rsidRPr="00891130">
              <w:rPr>
                <w:sz w:val="24"/>
                <w:szCs w:val="24"/>
                <w:lang w:val="ro-RO"/>
              </w:rPr>
              <w:t>9.</w:t>
            </w:r>
          </w:p>
        </w:tc>
        <w:tc>
          <w:tcPr>
            <w:tcW w:w="2421" w:type="pct"/>
          </w:tcPr>
          <w:p w:rsidR="004F6623" w:rsidRPr="00891130" w:rsidRDefault="004F6623" w:rsidP="00DF118A">
            <w:pPr>
              <w:ind w:firstLine="0"/>
              <w:jc w:val="left"/>
              <w:rPr>
                <w:sz w:val="24"/>
                <w:szCs w:val="24"/>
                <w:lang w:val="ro-RO"/>
              </w:rPr>
            </w:pPr>
            <w:r w:rsidRPr="00891130">
              <w:rPr>
                <w:sz w:val="24"/>
                <w:szCs w:val="24"/>
                <w:lang w:val="ro-RO"/>
              </w:rPr>
              <w:t xml:space="preserve">Semnătura </w:t>
            </w:r>
          </w:p>
        </w:tc>
        <w:tc>
          <w:tcPr>
            <w:tcW w:w="2243" w:type="pct"/>
          </w:tcPr>
          <w:p w:rsidR="004F6623" w:rsidRPr="00891130" w:rsidRDefault="004F6623" w:rsidP="00DF118A">
            <w:pPr>
              <w:ind w:firstLine="0"/>
              <w:jc w:val="center"/>
              <w:rPr>
                <w:sz w:val="24"/>
                <w:szCs w:val="24"/>
                <w:lang w:val="ro-RO"/>
              </w:rPr>
            </w:pPr>
          </w:p>
          <w:p w:rsidR="004F6623" w:rsidRPr="00891130" w:rsidRDefault="004F6623" w:rsidP="00DF118A">
            <w:pPr>
              <w:ind w:firstLine="0"/>
              <w:jc w:val="center"/>
              <w:rPr>
                <w:sz w:val="24"/>
                <w:szCs w:val="24"/>
                <w:lang w:val="ro-RO"/>
              </w:rPr>
            </w:pPr>
          </w:p>
        </w:tc>
      </w:tr>
    </w:tbl>
    <w:p w:rsidR="004F6623" w:rsidRPr="00891130" w:rsidRDefault="004F6623" w:rsidP="004F6623">
      <w:pPr>
        <w:tabs>
          <w:tab w:val="left" w:pos="709"/>
          <w:tab w:val="left" w:pos="851"/>
        </w:tabs>
        <w:spacing w:line="276" w:lineRule="auto"/>
        <w:ind w:firstLine="0"/>
        <w:jc w:val="center"/>
        <w:rPr>
          <w:color w:val="000000"/>
          <w:sz w:val="24"/>
          <w:szCs w:val="24"/>
          <w:lang w:val="ro-RO" w:eastAsia="ru-RU"/>
        </w:rPr>
      </w:pPr>
    </w:p>
    <w:p w:rsidR="004F6623" w:rsidRPr="00891130" w:rsidRDefault="004F6623" w:rsidP="004F6623">
      <w:pPr>
        <w:spacing w:line="276" w:lineRule="auto"/>
        <w:jc w:val="right"/>
        <w:rPr>
          <w:rFonts w:eastAsia="Calibri"/>
          <w:i/>
          <w:sz w:val="24"/>
          <w:szCs w:val="24"/>
          <w:lang w:val="ro-RO"/>
        </w:rPr>
      </w:pPr>
    </w:p>
    <w:p w:rsidR="004F6623" w:rsidRPr="00891130" w:rsidRDefault="004F6623" w:rsidP="004F6623">
      <w:pPr>
        <w:spacing w:line="276" w:lineRule="auto"/>
        <w:jc w:val="right"/>
        <w:rPr>
          <w:rFonts w:eastAsia="Calibri"/>
          <w:i/>
          <w:sz w:val="24"/>
          <w:szCs w:val="24"/>
          <w:lang w:val="ro-RO"/>
        </w:rPr>
      </w:pPr>
    </w:p>
    <w:p w:rsidR="004F6623" w:rsidRPr="00891130" w:rsidRDefault="004F6623" w:rsidP="004F6623">
      <w:pPr>
        <w:spacing w:line="276" w:lineRule="auto"/>
        <w:jc w:val="right"/>
        <w:rPr>
          <w:rFonts w:eastAsia="Calibri"/>
          <w:i/>
          <w:sz w:val="24"/>
          <w:szCs w:val="24"/>
          <w:lang w:val="ro-RO"/>
        </w:rPr>
      </w:pPr>
    </w:p>
    <w:p w:rsidR="004F6623" w:rsidRPr="004618B6" w:rsidRDefault="004F6623" w:rsidP="004F6623">
      <w:pPr>
        <w:spacing w:after="200" w:line="276" w:lineRule="auto"/>
        <w:ind w:firstLine="0"/>
        <w:jc w:val="left"/>
        <w:rPr>
          <w:lang w:val="ro-RO"/>
        </w:rPr>
      </w:pPr>
    </w:p>
    <w:p w:rsidR="004F6623" w:rsidRPr="00594ED7" w:rsidRDefault="004F6623" w:rsidP="004F6623">
      <w:pPr>
        <w:ind w:firstLine="0"/>
        <w:jc w:val="right"/>
        <w:rPr>
          <w:i/>
          <w:sz w:val="28"/>
          <w:szCs w:val="28"/>
          <w:lang w:val="ro-RO" w:eastAsia="ru-RU"/>
        </w:rPr>
      </w:pPr>
      <w:r w:rsidRPr="00594ED7">
        <w:rPr>
          <w:i/>
          <w:sz w:val="28"/>
          <w:szCs w:val="28"/>
          <w:lang w:val="ro-RO" w:eastAsia="ru-RU"/>
        </w:rPr>
        <w:t>Proiect</w:t>
      </w:r>
    </w:p>
    <w:p w:rsidR="004F6623" w:rsidRPr="00594ED7" w:rsidRDefault="004F6623" w:rsidP="004F6623">
      <w:pPr>
        <w:ind w:firstLine="0"/>
        <w:jc w:val="right"/>
        <w:rPr>
          <w:i/>
          <w:sz w:val="28"/>
          <w:szCs w:val="28"/>
          <w:lang w:val="ro-RO" w:eastAsia="ru-RU"/>
        </w:rPr>
      </w:pPr>
    </w:p>
    <w:p w:rsidR="004F6623" w:rsidRPr="00594ED7" w:rsidRDefault="004F6623" w:rsidP="004F6623">
      <w:pPr>
        <w:ind w:firstLine="0"/>
        <w:jc w:val="right"/>
        <w:rPr>
          <w:i/>
          <w:sz w:val="28"/>
          <w:szCs w:val="28"/>
          <w:lang w:val="ro-RO" w:eastAsia="ru-RU"/>
        </w:rPr>
      </w:pPr>
    </w:p>
    <w:p w:rsidR="004F6623" w:rsidRPr="009707FE" w:rsidRDefault="004F6623" w:rsidP="004F6623">
      <w:pPr>
        <w:ind w:firstLine="0"/>
        <w:jc w:val="center"/>
        <w:rPr>
          <w:b/>
          <w:sz w:val="24"/>
          <w:szCs w:val="24"/>
          <w:lang w:eastAsia="ru-RU"/>
        </w:rPr>
      </w:pPr>
      <w:r w:rsidRPr="009707FE">
        <w:rPr>
          <w:b/>
          <w:sz w:val="24"/>
          <w:szCs w:val="24"/>
          <w:lang w:eastAsia="ru-RU"/>
        </w:rPr>
        <w:t>GUVERNUL REPUBLICII MOLDOVA</w:t>
      </w:r>
    </w:p>
    <w:p w:rsidR="004F6623" w:rsidRPr="009707FE" w:rsidRDefault="004F6623" w:rsidP="004F6623">
      <w:pPr>
        <w:ind w:firstLine="0"/>
        <w:jc w:val="center"/>
        <w:rPr>
          <w:b/>
          <w:sz w:val="24"/>
          <w:szCs w:val="24"/>
          <w:lang w:eastAsia="ru-RU"/>
        </w:rPr>
      </w:pPr>
    </w:p>
    <w:p w:rsidR="004F6623" w:rsidRPr="009707FE" w:rsidRDefault="004F6623" w:rsidP="004F6623">
      <w:pPr>
        <w:ind w:firstLine="0"/>
        <w:jc w:val="center"/>
        <w:rPr>
          <w:b/>
          <w:sz w:val="24"/>
          <w:szCs w:val="24"/>
          <w:lang w:eastAsia="ru-RU"/>
        </w:rPr>
      </w:pPr>
      <w:r w:rsidRPr="009707FE">
        <w:rPr>
          <w:b/>
          <w:sz w:val="24"/>
          <w:szCs w:val="24"/>
          <w:lang w:eastAsia="ru-RU"/>
        </w:rPr>
        <w:t>HOTĂRÎRE nr. ____</w:t>
      </w:r>
    </w:p>
    <w:p w:rsidR="004F6623" w:rsidRPr="009707FE" w:rsidRDefault="004F6623" w:rsidP="004F6623">
      <w:pPr>
        <w:ind w:firstLine="0"/>
        <w:jc w:val="center"/>
        <w:rPr>
          <w:b/>
          <w:sz w:val="24"/>
          <w:szCs w:val="24"/>
          <w:lang w:eastAsia="ru-RU"/>
        </w:rPr>
      </w:pPr>
    </w:p>
    <w:p w:rsidR="004F6623" w:rsidRPr="009707FE" w:rsidRDefault="004F6623" w:rsidP="004F6623">
      <w:pPr>
        <w:ind w:firstLine="0"/>
        <w:jc w:val="center"/>
        <w:rPr>
          <w:b/>
          <w:sz w:val="24"/>
          <w:szCs w:val="24"/>
          <w:lang w:eastAsia="ru-RU"/>
        </w:rPr>
      </w:pPr>
      <w:r w:rsidRPr="009707FE">
        <w:rPr>
          <w:b/>
          <w:sz w:val="24"/>
          <w:szCs w:val="24"/>
          <w:lang w:eastAsia="ru-RU"/>
        </w:rPr>
        <w:t>din</w:t>
      </w:r>
      <w:r>
        <w:rPr>
          <w:b/>
          <w:sz w:val="24"/>
          <w:szCs w:val="24"/>
          <w:lang w:eastAsia="ru-RU"/>
        </w:rPr>
        <w:t xml:space="preserve"> ____ __________2022</w:t>
      </w:r>
    </w:p>
    <w:p w:rsidR="004F6623" w:rsidRPr="009707FE" w:rsidRDefault="004F6623" w:rsidP="004F6623">
      <w:pPr>
        <w:ind w:firstLine="0"/>
        <w:jc w:val="center"/>
        <w:rPr>
          <w:b/>
          <w:sz w:val="24"/>
          <w:szCs w:val="24"/>
          <w:lang w:eastAsia="ru-RU"/>
        </w:rPr>
      </w:pPr>
    </w:p>
    <w:p w:rsidR="004F6623" w:rsidRPr="009707FE" w:rsidRDefault="004F6623" w:rsidP="004F6623">
      <w:pPr>
        <w:ind w:firstLine="0"/>
        <w:jc w:val="center"/>
        <w:rPr>
          <w:b/>
          <w:sz w:val="24"/>
          <w:szCs w:val="24"/>
          <w:lang w:eastAsia="ru-RU"/>
        </w:rPr>
      </w:pPr>
      <w:r w:rsidRPr="009707FE">
        <w:rPr>
          <w:b/>
          <w:bCs/>
          <w:sz w:val="24"/>
          <w:szCs w:val="24"/>
          <w:lang w:eastAsia="ru-RU"/>
        </w:rPr>
        <w:t xml:space="preserve">cu privire la încheierea unui contract </w:t>
      </w:r>
      <w:r>
        <w:rPr>
          <w:b/>
          <w:bCs/>
          <w:sz w:val="24"/>
          <w:szCs w:val="24"/>
          <w:lang w:eastAsia="ru-RU"/>
        </w:rPr>
        <w:t>de asistenţă juridică</w:t>
      </w:r>
    </w:p>
    <w:p w:rsidR="004F6623" w:rsidRPr="009707FE" w:rsidRDefault="004F6623" w:rsidP="004F6623">
      <w:pPr>
        <w:ind w:firstLine="0"/>
        <w:rPr>
          <w:sz w:val="24"/>
          <w:szCs w:val="24"/>
          <w:lang w:eastAsia="ru-RU"/>
        </w:rPr>
      </w:pPr>
    </w:p>
    <w:p w:rsidR="004F6623" w:rsidRPr="00225DBA" w:rsidRDefault="008251FE" w:rsidP="004F6623">
      <w:pPr>
        <w:spacing w:before="120" w:after="120"/>
        <w:rPr>
          <w:sz w:val="24"/>
          <w:szCs w:val="24"/>
        </w:rPr>
      </w:pPr>
      <w:r>
        <w:rPr>
          <w:sz w:val="24"/>
          <w:szCs w:val="24"/>
          <w:lang w:eastAsia="ru-RU"/>
        </w:rPr>
        <w:t>În temeiul art. 6 lit. a</w:t>
      </w:r>
      <w:r w:rsidR="004F6623" w:rsidRPr="00225DBA">
        <w:rPr>
          <w:sz w:val="24"/>
          <w:szCs w:val="24"/>
          <w:lang w:eastAsia="ru-RU"/>
        </w:rPr>
        <w:t xml:space="preserve">) din Legea </w:t>
      </w:r>
      <w:r>
        <w:rPr>
          <w:sz w:val="24"/>
          <w:szCs w:val="24"/>
          <w:lang w:eastAsia="ru-RU"/>
        </w:rPr>
        <w:t xml:space="preserve">nr. 136/2017 </w:t>
      </w:r>
      <w:r w:rsidR="004F6623" w:rsidRPr="00225DBA">
        <w:rPr>
          <w:sz w:val="24"/>
          <w:szCs w:val="24"/>
          <w:lang w:eastAsia="ru-RU"/>
        </w:rPr>
        <w:t xml:space="preserve">cu privire la Guvern (Monitorul Oficial al Republicii Moldova, nr. 252 art. 412) cu modificările ulterioare, </w:t>
      </w:r>
      <w:r w:rsidR="004F6623" w:rsidRPr="00225DBA">
        <w:rPr>
          <w:sz w:val="24"/>
          <w:szCs w:val="24"/>
        </w:rPr>
        <w:t xml:space="preserve">precum și în conformitate cu pct. 62 din </w:t>
      </w:r>
      <w:r w:rsidR="004F6623" w:rsidRPr="00225DBA">
        <w:rPr>
          <w:color w:val="000000"/>
          <w:sz w:val="24"/>
          <w:szCs w:val="24"/>
        </w:rPr>
        <w:t>Regulamentul privind modul de reprezentare a intereselor statului în instanţele judecătoreşti şi în instituţiile de arbitraj naţionale şi internaţionale</w:t>
      </w:r>
      <w:r w:rsidR="004F6623" w:rsidRPr="00225DBA">
        <w:rPr>
          <w:sz w:val="24"/>
          <w:szCs w:val="24"/>
          <w:lang w:val="ro-RO"/>
        </w:rPr>
        <w:t xml:space="preserve">, aprobat prin </w:t>
      </w:r>
      <w:r w:rsidR="004F6623" w:rsidRPr="00225DBA">
        <w:rPr>
          <w:color w:val="000000"/>
          <w:sz w:val="24"/>
          <w:szCs w:val="24"/>
        </w:rPr>
        <w:t>Hotărîrea Guvernului nr. 764/2012</w:t>
      </w:r>
      <w:r w:rsidR="004F6623" w:rsidRPr="00225DBA">
        <w:rPr>
          <w:sz w:val="24"/>
          <w:szCs w:val="24"/>
        </w:rPr>
        <w:t xml:space="preserve"> (Monitorul Oficial al Republicii Moldova, 2012 nr.  216-220 art. 826), </w:t>
      </w:r>
      <w:r w:rsidR="004F6623" w:rsidRPr="00225DBA">
        <w:rPr>
          <w:sz w:val="24"/>
          <w:szCs w:val="24"/>
          <w:lang w:eastAsia="ru-RU"/>
        </w:rPr>
        <w:t>Guvernul HOTĂRĂŞTE:</w:t>
      </w:r>
    </w:p>
    <w:p w:rsidR="004F6623" w:rsidRPr="009707FE" w:rsidRDefault="004F6623" w:rsidP="004F6623">
      <w:pPr>
        <w:contextualSpacing/>
        <w:rPr>
          <w:iCs/>
          <w:sz w:val="24"/>
          <w:szCs w:val="24"/>
          <w:lang w:eastAsia="ru-RU"/>
        </w:rPr>
      </w:pPr>
      <w:r w:rsidRPr="009707FE">
        <w:rPr>
          <w:sz w:val="24"/>
          <w:szCs w:val="24"/>
          <w:lang w:eastAsia="ru-RU"/>
        </w:rPr>
        <w:t xml:space="preserve">1.Se ia act de rezultatele selecţiei companiei de avocatură </w:t>
      </w:r>
      <w:r>
        <w:rPr>
          <w:sz w:val="24"/>
          <w:szCs w:val="24"/>
          <w:lang w:val="ro-RO" w:eastAsia="ru-RU"/>
        </w:rPr>
        <w:t>„</w:t>
      </w:r>
      <w:r w:rsidRPr="00DC3A37">
        <w:rPr>
          <w:sz w:val="24"/>
          <w:szCs w:val="24"/>
          <w:lang w:val="ro-RO" w:eastAsia="ru-RU"/>
        </w:rPr>
        <w:t xml:space="preserve">Steptoe </w:t>
      </w:r>
      <w:r w:rsidRPr="00DC3A37">
        <w:rPr>
          <w:sz w:val="24"/>
          <w:szCs w:val="24"/>
          <w:lang w:eastAsia="ru-RU"/>
        </w:rPr>
        <w:t>&amp; Johnson” LLP (</w:t>
      </w:r>
      <w:r>
        <w:rPr>
          <w:sz w:val="24"/>
          <w:szCs w:val="24"/>
          <w:lang w:eastAsia="ru-RU"/>
        </w:rPr>
        <w:t>Washington, Statele Unite ale Americii</w:t>
      </w:r>
      <w:r w:rsidRPr="00DC3A37">
        <w:rPr>
          <w:sz w:val="24"/>
          <w:szCs w:val="24"/>
          <w:lang w:eastAsia="ru-RU"/>
        </w:rPr>
        <w:t xml:space="preserve">) </w:t>
      </w:r>
      <w:r w:rsidRPr="00DC3A37">
        <w:rPr>
          <w:sz w:val="24"/>
          <w:szCs w:val="24"/>
          <w:lang w:val="ro-RO" w:eastAsia="ru-RU"/>
        </w:rPr>
        <w:t>în parteneriat cu</w:t>
      </w:r>
      <w:r w:rsidRPr="00DC3A37">
        <w:rPr>
          <w:sz w:val="24"/>
          <w:szCs w:val="24"/>
          <w:lang w:val="it-IT" w:eastAsia="ru-RU"/>
        </w:rPr>
        <w:t xml:space="preserve"> Biroul asociat de avocaţi </w:t>
      </w:r>
      <w:r w:rsidRPr="00DC3A37">
        <w:rPr>
          <w:sz w:val="24"/>
          <w:szCs w:val="24"/>
          <w:lang w:val="ro-RO" w:eastAsia="ru-RU"/>
        </w:rPr>
        <w:t>„</w:t>
      </w:r>
      <w:r w:rsidRPr="00DC3A37">
        <w:rPr>
          <w:sz w:val="24"/>
          <w:szCs w:val="24"/>
          <w:lang w:val="it-IT" w:eastAsia="ru-RU"/>
        </w:rPr>
        <w:t>Tănase &amp; Partenerii” (Republica Moldova)</w:t>
      </w:r>
      <w:r>
        <w:rPr>
          <w:sz w:val="24"/>
          <w:szCs w:val="24"/>
          <w:lang w:val="it-IT" w:eastAsia="ru-RU"/>
        </w:rPr>
        <w:t xml:space="preserve">, </w:t>
      </w:r>
      <w:r w:rsidRPr="009707FE">
        <w:rPr>
          <w:sz w:val="24"/>
          <w:szCs w:val="24"/>
          <w:lang w:eastAsia="ru-RU"/>
        </w:rPr>
        <w:t xml:space="preserve">pentru reprezentarea intereselor statului </w:t>
      </w:r>
      <w:r w:rsidRPr="006218FD">
        <w:rPr>
          <w:bCs/>
          <w:sz w:val="24"/>
          <w:szCs w:val="24"/>
          <w:lang w:eastAsia="ru-RU"/>
        </w:rPr>
        <w:t xml:space="preserve">în </w:t>
      </w:r>
      <w:r>
        <w:rPr>
          <w:bCs/>
          <w:sz w:val="24"/>
          <w:szCs w:val="24"/>
          <w:lang w:eastAsia="ru-RU"/>
        </w:rPr>
        <w:t xml:space="preserve">ordine de apel </w:t>
      </w:r>
      <w:r w:rsidRPr="009707FE">
        <w:rPr>
          <w:bCs/>
          <w:sz w:val="24"/>
          <w:szCs w:val="24"/>
          <w:lang w:eastAsia="ru-RU"/>
        </w:rPr>
        <w:t>în acţiunea înaintată de</w:t>
      </w:r>
      <w:r w:rsidRPr="009707FE">
        <w:rPr>
          <w:b/>
          <w:bCs/>
          <w:sz w:val="24"/>
          <w:szCs w:val="24"/>
          <w:lang w:eastAsia="ru-RU"/>
        </w:rPr>
        <w:t xml:space="preserve"> </w:t>
      </w:r>
      <w:r w:rsidRPr="009707FE">
        <w:rPr>
          <w:sz w:val="24"/>
          <w:szCs w:val="24"/>
          <w:lang w:eastAsia="ru-RU"/>
        </w:rPr>
        <w:t xml:space="preserve">Gater Assets Limited </w:t>
      </w:r>
      <w:r w:rsidRPr="009707FE">
        <w:rPr>
          <w:iCs/>
          <w:sz w:val="24"/>
          <w:szCs w:val="24"/>
          <w:lang w:eastAsia="ru-RU"/>
        </w:rPr>
        <w:t>împotriva Republicii Moldova</w:t>
      </w:r>
      <w:r>
        <w:rPr>
          <w:iCs/>
          <w:sz w:val="24"/>
          <w:szCs w:val="24"/>
          <w:lang w:eastAsia="ru-RU"/>
        </w:rPr>
        <w:t>,</w:t>
      </w:r>
      <w:r w:rsidRPr="002C18D9">
        <w:rPr>
          <w:sz w:val="24"/>
          <w:szCs w:val="24"/>
          <w:lang w:eastAsia="ru-RU"/>
        </w:rPr>
        <w:t xml:space="preserve"> </w:t>
      </w:r>
      <w:r w:rsidRPr="00D05102">
        <w:rPr>
          <w:sz w:val="24"/>
          <w:szCs w:val="24"/>
          <w:lang w:eastAsia="ru-RU"/>
        </w:rPr>
        <w:t>alătur</w:t>
      </w:r>
      <w:r>
        <w:rPr>
          <w:sz w:val="24"/>
          <w:szCs w:val="24"/>
          <w:lang w:eastAsia="ru-RU"/>
        </w:rPr>
        <w:t>i de S</w:t>
      </w:r>
      <w:r>
        <w:rPr>
          <w:sz w:val="24"/>
          <w:szCs w:val="24"/>
          <w:lang w:val="ru-RU" w:eastAsia="ru-RU"/>
        </w:rPr>
        <w:t>С</w:t>
      </w:r>
      <w:r>
        <w:rPr>
          <w:sz w:val="24"/>
          <w:szCs w:val="24"/>
          <w:lang w:eastAsia="ru-RU"/>
        </w:rPr>
        <w:t xml:space="preserve"> </w:t>
      </w:r>
      <w:r>
        <w:rPr>
          <w:sz w:val="24"/>
          <w:szCs w:val="24"/>
          <w:lang w:val="ro-RO" w:eastAsia="ru-RU"/>
        </w:rPr>
        <w:t>„</w:t>
      </w:r>
      <w:r>
        <w:rPr>
          <w:sz w:val="24"/>
          <w:szCs w:val="24"/>
          <w:lang w:eastAsia="ru-RU"/>
        </w:rPr>
        <w:t>Gazsnabtranzit”</w:t>
      </w:r>
      <w:r w:rsidRPr="002C18D9">
        <w:rPr>
          <w:sz w:val="24"/>
          <w:szCs w:val="24"/>
          <w:lang w:eastAsia="ru-RU"/>
        </w:rPr>
        <w:t xml:space="preserve"> </w:t>
      </w:r>
      <w:r>
        <w:rPr>
          <w:sz w:val="24"/>
          <w:szCs w:val="24"/>
          <w:lang w:eastAsia="ru-RU"/>
        </w:rPr>
        <w:t xml:space="preserve">SA şi SC </w:t>
      </w:r>
      <w:r>
        <w:rPr>
          <w:sz w:val="24"/>
          <w:szCs w:val="24"/>
          <w:lang w:val="ro-RO" w:eastAsia="ru-RU"/>
        </w:rPr>
        <w:t>„</w:t>
      </w:r>
      <w:r w:rsidRPr="00D05102">
        <w:rPr>
          <w:sz w:val="24"/>
          <w:szCs w:val="24"/>
          <w:lang w:eastAsia="ru-RU"/>
        </w:rPr>
        <w:t>Moldovagaz”</w:t>
      </w:r>
      <w:r>
        <w:rPr>
          <w:sz w:val="24"/>
          <w:szCs w:val="24"/>
          <w:lang w:eastAsia="ru-RU"/>
        </w:rPr>
        <w:t xml:space="preserve"> SA</w:t>
      </w:r>
      <w:r w:rsidRPr="009707FE">
        <w:rPr>
          <w:i/>
          <w:iCs/>
          <w:sz w:val="24"/>
          <w:szCs w:val="24"/>
          <w:lang w:eastAsia="ru-RU"/>
        </w:rPr>
        <w:t xml:space="preserve">, </w:t>
      </w:r>
      <w:r>
        <w:rPr>
          <w:iCs/>
          <w:sz w:val="24"/>
          <w:szCs w:val="24"/>
          <w:lang w:eastAsia="ru-RU"/>
        </w:rPr>
        <w:t>la Curtea</w:t>
      </w:r>
      <w:r w:rsidRPr="009707FE">
        <w:rPr>
          <w:iCs/>
          <w:sz w:val="24"/>
          <w:szCs w:val="24"/>
          <w:lang w:eastAsia="ru-RU"/>
        </w:rPr>
        <w:t xml:space="preserve"> de Apel a Statelor Unite</w:t>
      </w:r>
      <w:r>
        <w:rPr>
          <w:iCs/>
          <w:sz w:val="24"/>
          <w:szCs w:val="24"/>
          <w:lang w:eastAsia="ru-RU"/>
        </w:rPr>
        <w:t xml:space="preserve"> ale Americii</w:t>
      </w:r>
      <w:r w:rsidRPr="009707FE">
        <w:rPr>
          <w:iCs/>
          <w:sz w:val="24"/>
          <w:szCs w:val="24"/>
          <w:lang w:eastAsia="ru-RU"/>
        </w:rPr>
        <w:t xml:space="preserve"> pentru al Doilea</w:t>
      </w:r>
      <w:r w:rsidRPr="009707FE">
        <w:rPr>
          <w:sz w:val="24"/>
          <w:szCs w:val="24"/>
          <w:lang w:eastAsia="ru-RU"/>
        </w:rPr>
        <w:t xml:space="preserve"> </w:t>
      </w:r>
      <w:r w:rsidRPr="009707FE">
        <w:rPr>
          <w:iCs/>
          <w:sz w:val="24"/>
          <w:szCs w:val="24"/>
          <w:lang w:eastAsia="ru-RU"/>
        </w:rPr>
        <w:t>Circuit</w:t>
      </w:r>
      <w:r w:rsidRPr="009707FE">
        <w:rPr>
          <w:sz w:val="24"/>
          <w:szCs w:val="24"/>
          <w:lang w:eastAsia="ru-RU"/>
        </w:rPr>
        <w:t xml:space="preserve"> </w:t>
      </w:r>
      <w:r w:rsidRPr="009707FE">
        <w:rPr>
          <w:iCs/>
          <w:sz w:val="24"/>
          <w:szCs w:val="24"/>
          <w:lang w:eastAsia="ru-RU"/>
        </w:rPr>
        <w:t xml:space="preserve">(SUA), </w:t>
      </w:r>
      <w:r w:rsidRPr="009707FE">
        <w:rPr>
          <w:sz w:val="24"/>
          <w:szCs w:val="24"/>
          <w:lang w:eastAsia="ru-RU"/>
        </w:rPr>
        <w:t>în condiţiile Hotărîrii Guvernului</w:t>
      </w:r>
      <w:r>
        <w:rPr>
          <w:sz w:val="24"/>
          <w:szCs w:val="24"/>
          <w:lang w:eastAsia="ru-RU"/>
        </w:rPr>
        <w:t xml:space="preserve"> nr. 764 din 12 octombrie 2012 c</w:t>
      </w:r>
      <w:r w:rsidRPr="009707FE">
        <w:rPr>
          <w:sz w:val="24"/>
          <w:szCs w:val="24"/>
          <w:lang w:eastAsia="ru-RU"/>
        </w:rPr>
        <w:t>u privire la reprezentarea intereselor statului în instanţele judecătoreşti şi în instituţiile de arbit</w:t>
      </w:r>
      <w:r>
        <w:rPr>
          <w:sz w:val="24"/>
          <w:szCs w:val="24"/>
          <w:lang w:eastAsia="ru-RU"/>
        </w:rPr>
        <w:t>raj naţionale şi internaţionale</w:t>
      </w:r>
      <w:r w:rsidRPr="009707FE">
        <w:rPr>
          <w:sz w:val="24"/>
          <w:szCs w:val="24"/>
          <w:lang w:eastAsia="ru-RU"/>
        </w:rPr>
        <w:t xml:space="preserve"> (Monitorul Oficial al Republicii Moldova, 2012, nr. 216-220, art. 826).</w:t>
      </w:r>
    </w:p>
    <w:p w:rsidR="004F6623" w:rsidRDefault="004F6623" w:rsidP="004F6623">
      <w:pPr>
        <w:ind w:firstLine="708"/>
        <w:rPr>
          <w:sz w:val="24"/>
          <w:szCs w:val="24"/>
          <w:lang w:eastAsia="ru-RU"/>
        </w:rPr>
      </w:pPr>
      <w:r>
        <w:rPr>
          <w:sz w:val="24"/>
          <w:szCs w:val="24"/>
          <w:lang w:eastAsia="ru-RU"/>
        </w:rPr>
        <w:t>2.S</w:t>
      </w:r>
      <w:r w:rsidRPr="009707FE">
        <w:rPr>
          <w:sz w:val="24"/>
          <w:szCs w:val="24"/>
          <w:lang w:eastAsia="ru-RU"/>
        </w:rPr>
        <w:t>e împuternice</w:t>
      </w:r>
      <w:r w:rsidRPr="009707FE">
        <w:rPr>
          <w:color w:val="000000"/>
          <w:sz w:val="24"/>
          <w:szCs w:val="24"/>
          <w:lang w:eastAsia="ru-RU"/>
        </w:rPr>
        <w:t>şte</w:t>
      </w:r>
      <w:r>
        <w:rPr>
          <w:sz w:val="24"/>
          <w:szCs w:val="24"/>
          <w:lang w:eastAsia="ru-RU"/>
        </w:rPr>
        <w:t xml:space="preserve"> ministru</w:t>
      </w:r>
      <w:r w:rsidRPr="009707FE">
        <w:rPr>
          <w:sz w:val="24"/>
          <w:szCs w:val="24"/>
          <w:lang w:eastAsia="ru-RU"/>
        </w:rPr>
        <w:t>l infrastructu</w:t>
      </w:r>
      <w:r>
        <w:rPr>
          <w:sz w:val="24"/>
          <w:szCs w:val="24"/>
          <w:lang w:eastAsia="ru-RU"/>
        </w:rPr>
        <w:t>rii şi dezvoltării regionale să semneze în numele Guvernului</w:t>
      </w:r>
      <w:r w:rsidRPr="009707FE">
        <w:rPr>
          <w:sz w:val="24"/>
          <w:szCs w:val="24"/>
          <w:lang w:eastAsia="ru-RU"/>
        </w:rPr>
        <w:t xml:space="preserve"> contractul de asistență juridică cu </w:t>
      </w:r>
      <w:r>
        <w:rPr>
          <w:sz w:val="24"/>
          <w:szCs w:val="24"/>
          <w:lang w:eastAsia="ru-RU"/>
        </w:rPr>
        <w:t xml:space="preserve">compania de avocatură </w:t>
      </w:r>
      <w:r>
        <w:rPr>
          <w:sz w:val="24"/>
          <w:szCs w:val="24"/>
          <w:lang w:val="ro-RO" w:eastAsia="ru-RU"/>
        </w:rPr>
        <w:t>„</w:t>
      </w:r>
      <w:r w:rsidRPr="009707FE">
        <w:rPr>
          <w:sz w:val="24"/>
          <w:szCs w:val="24"/>
          <w:lang w:val="ro-RO" w:eastAsia="ru-RU"/>
        </w:rPr>
        <w:t xml:space="preserve">Steptoe </w:t>
      </w:r>
      <w:r w:rsidRPr="009707FE">
        <w:rPr>
          <w:sz w:val="24"/>
          <w:szCs w:val="24"/>
          <w:lang w:eastAsia="ru-RU"/>
        </w:rPr>
        <w:t>&amp; Johnson</w:t>
      </w:r>
      <w:r>
        <w:rPr>
          <w:sz w:val="24"/>
          <w:szCs w:val="24"/>
          <w:lang w:eastAsia="ru-RU"/>
        </w:rPr>
        <w:t>”</w:t>
      </w:r>
      <w:r w:rsidRPr="009707FE">
        <w:rPr>
          <w:sz w:val="24"/>
          <w:szCs w:val="24"/>
          <w:lang w:eastAsia="ru-RU"/>
        </w:rPr>
        <w:t xml:space="preserve"> LLP (Washington, SUA)</w:t>
      </w:r>
      <w:r>
        <w:rPr>
          <w:sz w:val="24"/>
          <w:szCs w:val="24"/>
          <w:lang w:eastAsia="ru-RU"/>
        </w:rPr>
        <w:t>,</w:t>
      </w:r>
      <w:r w:rsidRPr="009707FE">
        <w:rPr>
          <w:sz w:val="24"/>
          <w:szCs w:val="24"/>
          <w:lang w:eastAsia="ru-RU"/>
        </w:rPr>
        <w:t xml:space="preserve"> </w:t>
      </w:r>
      <w:r w:rsidRPr="009707FE">
        <w:rPr>
          <w:sz w:val="24"/>
          <w:szCs w:val="24"/>
          <w:lang w:val="ro-RO" w:eastAsia="ru-RU"/>
        </w:rPr>
        <w:t>în parteneriat cu</w:t>
      </w:r>
      <w:r>
        <w:rPr>
          <w:sz w:val="24"/>
          <w:szCs w:val="24"/>
          <w:lang w:val="it-IT" w:eastAsia="ru-RU"/>
        </w:rPr>
        <w:t xml:space="preserve"> Biroul asociat de a</w:t>
      </w:r>
      <w:r w:rsidRPr="009707FE">
        <w:rPr>
          <w:sz w:val="24"/>
          <w:szCs w:val="24"/>
          <w:lang w:val="it-IT" w:eastAsia="ru-RU"/>
        </w:rPr>
        <w:t xml:space="preserve">vocaţi </w:t>
      </w:r>
      <w:r w:rsidRPr="009707FE">
        <w:rPr>
          <w:sz w:val="24"/>
          <w:szCs w:val="24"/>
          <w:lang w:val="ro-RO" w:eastAsia="ru-RU"/>
        </w:rPr>
        <w:t>„</w:t>
      </w:r>
      <w:r w:rsidRPr="009707FE">
        <w:rPr>
          <w:sz w:val="24"/>
          <w:szCs w:val="24"/>
          <w:lang w:val="it-IT" w:eastAsia="ru-RU"/>
        </w:rPr>
        <w:t>Tănase &amp; Partenerii” (Republica Moldova)</w:t>
      </w:r>
      <w:r w:rsidR="00AA7747">
        <w:rPr>
          <w:sz w:val="24"/>
          <w:szCs w:val="24"/>
          <w:lang w:val="it-IT" w:eastAsia="ru-RU"/>
        </w:rPr>
        <w:t xml:space="preserve"> </w:t>
      </w:r>
      <w:r w:rsidR="00AA7747" w:rsidRPr="007F6502">
        <w:rPr>
          <w:sz w:val="24"/>
          <w:szCs w:val="24"/>
          <w:lang w:val="ro-RO" w:eastAsia="ru-RU"/>
        </w:rPr>
        <w:t>în sumă de 171 500,00 dolari SUA,</w:t>
      </w:r>
      <w:r w:rsidRPr="009707FE">
        <w:rPr>
          <w:sz w:val="24"/>
          <w:szCs w:val="24"/>
          <w:lang w:eastAsia="ru-RU"/>
        </w:rPr>
        <w:t xml:space="preserve"> precum şi actele, acordurile şi procesele-verbale necesare pentru buna executare şi realizare a contractului numit.</w:t>
      </w:r>
    </w:p>
    <w:p w:rsidR="004F6623" w:rsidRPr="007F6502" w:rsidRDefault="004F6623" w:rsidP="004F6623">
      <w:pPr>
        <w:ind w:firstLine="0"/>
        <w:rPr>
          <w:sz w:val="24"/>
          <w:szCs w:val="24"/>
          <w:lang w:val="ro-RO" w:eastAsia="ru-RU"/>
        </w:rPr>
      </w:pPr>
      <w:r>
        <w:rPr>
          <w:sz w:val="24"/>
          <w:szCs w:val="24"/>
          <w:lang w:eastAsia="ru-RU"/>
        </w:rPr>
        <w:t xml:space="preserve">            </w:t>
      </w:r>
      <w:r w:rsidRPr="00B80570">
        <w:rPr>
          <w:sz w:val="24"/>
          <w:szCs w:val="24"/>
          <w:lang w:eastAsia="ru-RU"/>
        </w:rPr>
        <w:t>3.</w:t>
      </w:r>
      <w:r w:rsidR="00B06D18" w:rsidRPr="00B80570">
        <w:rPr>
          <w:sz w:val="24"/>
          <w:szCs w:val="24"/>
          <w:lang w:eastAsia="ru-RU"/>
        </w:rPr>
        <w:t>C</w:t>
      </w:r>
      <w:r w:rsidR="00AA7747" w:rsidRPr="00B80570">
        <w:rPr>
          <w:sz w:val="24"/>
          <w:szCs w:val="24"/>
          <w:lang w:eastAsia="ru-RU"/>
        </w:rPr>
        <w:t xml:space="preserve">heltuielile menţionate la pct. 2 </w:t>
      </w:r>
      <w:r w:rsidR="00B06D18" w:rsidRPr="00B80570">
        <w:rPr>
          <w:sz w:val="24"/>
          <w:szCs w:val="24"/>
          <w:lang w:eastAsia="ru-RU"/>
        </w:rPr>
        <w:t>vor fi suportate de</w:t>
      </w:r>
      <w:r w:rsidR="007F6502" w:rsidRPr="00B80570">
        <w:rPr>
          <w:sz w:val="24"/>
          <w:szCs w:val="24"/>
          <w:lang w:eastAsia="ru-RU"/>
        </w:rPr>
        <w:t xml:space="preserve"> Ministerul Infrastru</w:t>
      </w:r>
      <w:r w:rsidR="00B06D18" w:rsidRPr="00B80570">
        <w:rPr>
          <w:sz w:val="24"/>
          <w:szCs w:val="24"/>
          <w:lang w:eastAsia="ru-RU"/>
        </w:rPr>
        <w:t>cturii şi Dezvoltării Regionale din contul alocaţiilor bugetare ale acestuia.</w:t>
      </w:r>
    </w:p>
    <w:p w:rsidR="004F6623" w:rsidRPr="00F474EF" w:rsidRDefault="004F6623" w:rsidP="004F6623">
      <w:pPr>
        <w:tabs>
          <w:tab w:val="left" w:pos="976"/>
        </w:tabs>
        <w:rPr>
          <w:sz w:val="24"/>
          <w:szCs w:val="24"/>
          <w:lang w:eastAsia="ru-RU"/>
        </w:rPr>
      </w:pPr>
      <w:r>
        <w:rPr>
          <w:sz w:val="24"/>
          <w:szCs w:val="24"/>
          <w:lang w:eastAsia="ru-RU"/>
        </w:rPr>
        <w:t>4.</w:t>
      </w:r>
      <w:r w:rsidRPr="00F474EF">
        <w:rPr>
          <w:bCs/>
          <w:sz w:val="24"/>
          <w:szCs w:val="24"/>
          <w:lang w:eastAsia="ru-RU"/>
        </w:rPr>
        <w:t>Prezenta hotărâre intră în vigoare la data publicării în Monitorul Oficial al Republicii Moldova.</w:t>
      </w:r>
    </w:p>
    <w:p w:rsidR="004F6623" w:rsidRPr="009707FE" w:rsidRDefault="004F6623" w:rsidP="004F6623">
      <w:pPr>
        <w:tabs>
          <w:tab w:val="left" w:pos="976"/>
        </w:tabs>
        <w:rPr>
          <w:sz w:val="24"/>
          <w:szCs w:val="24"/>
          <w:lang w:eastAsia="ru-RU"/>
        </w:rPr>
      </w:pPr>
    </w:p>
    <w:p w:rsidR="004F6623" w:rsidRPr="009707FE" w:rsidRDefault="004F6623" w:rsidP="004F6623">
      <w:pPr>
        <w:autoSpaceDE w:val="0"/>
        <w:autoSpaceDN w:val="0"/>
        <w:adjustRightInd w:val="0"/>
        <w:ind w:firstLine="0"/>
        <w:rPr>
          <w:sz w:val="24"/>
          <w:szCs w:val="24"/>
          <w:lang w:eastAsia="ru-RU"/>
        </w:rPr>
      </w:pPr>
    </w:p>
    <w:p w:rsidR="004F6623" w:rsidRPr="009707FE" w:rsidRDefault="004F6623" w:rsidP="004F6623">
      <w:pPr>
        <w:autoSpaceDE w:val="0"/>
        <w:autoSpaceDN w:val="0"/>
        <w:adjustRightInd w:val="0"/>
        <w:ind w:firstLine="0"/>
        <w:rPr>
          <w:sz w:val="24"/>
          <w:szCs w:val="24"/>
          <w:lang w:eastAsia="ru-RU"/>
        </w:rPr>
      </w:pPr>
    </w:p>
    <w:p w:rsidR="004F6623" w:rsidRPr="009707FE" w:rsidRDefault="004F6623" w:rsidP="004F6623">
      <w:pPr>
        <w:ind w:firstLine="0"/>
        <w:rPr>
          <w:b/>
          <w:sz w:val="24"/>
          <w:szCs w:val="24"/>
          <w:lang w:val="ro-RO"/>
        </w:rPr>
      </w:pPr>
      <w:r w:rsidRPr="009707FE">
        <w:rPr>
          <w:b/>
          <w:sz w:val="24"/>
          <w:szCs w:val="24"/>
          <w:lang w:val="ro-RO"/>
        </w:rPr>
        <w:t xml:space="preserve">PRIM-MINISTRU </w:t>
      </w:r>
      <w:r w:rsidRPr="009707FE">
        <w:rPr>
          <w:b/>
          <w:sz w:val="24"/>
          <w:szCs w:val="24"/>
          <w:lang w:val="ro-RO"/>
        </w:rPr>
        <w:tab/>
      </w:r>
      <w:r w:rsidRPr="009707FE">
        <w:rPr>
          <w:b/>
          <w:sz w:val="24"/>
          <w:szCs w:val="24"/>
          <w:lang w:val="ro-RO"/>
        </w:rPr>
        <w:tab/>
        <w:t xml:space="preserve">                                                                       </w:t>
      </w:r>
      <w:r w:rsidRPr="009707FE">
        <w:rPr>
          <w:b/>
          <w:sz w:val="24"/>
          <w:szCs w:val="24"/>
          <w:lang w:val="ro-RO"/>
        </w:rPr>
        <w:tab/>
      </w:r>
      <w:r w:rsidRPr="009707FE">
        <w:rPr>
          <w:b/>
          <w:sz w:val="24"/>
          <w:szCs w:val="24"/>
          <w:lang w:val="ro-RO"/>
        </w:rPr>
        <w:tab/>
      </w:r>
    </w:p>
    <w:p w:rsidR="004F6623" w:rsidRDefault="004F6623" w:rsidP="004F6623">
      <w:pPr>
        <w:ind w:firstLine="0"/>
        <w:rPr>
          <w:b/>
          <w:sz w:val="24"/>
          <w:szCs w:val="24"/>
          <w:lang w:val="ro-RO"/>
        </w:rPr>
      </w:pPr>
      <w:r w:rsidRPr="009707FE">
        <w:rPr>
          <w:b/>
          <w:sz w:val="24"/>
          <w:szCs w:val="24"/>
          <w:lang w:val="ro-RO"/>
        </w:rPr>
        <w:t>Contrasemnează:</w:t>
      </w:r>
    </w:p>
    <w:p w:rsidR="004F6623" w:rsidRPr="009707FE" w:rsidRDefault="004F6623" w:rsidP="004F6623">
      <w:pPr>
        <w:ind w:firstLine="0"/>
        <w:rPr>
          <w:b/>
          <w:sz w:val="24"/>
          <w:szCs w:val="24"/>
          <w:lang w:val="ro-RO"/>
        </w:rPr>
      </w:pPr>
      <w:r>
        <w:rPr>
          <w:b/>
          <w:sz w:val="24"/>
          <w:szCs w:val="24"/>
          <w:lang w:val="ro-RO"/>
        </w:rPr>
        <w:t>Ministrul Justiţiei</w:t>
      </w:r>
      <w:r w:rsidRPr="009707FE">
        <w:rPr>
          <w:b/>
          <w:bCs/>
          <w:sz w:val="24"/>
          <w:szCs w:val="24"/>
          <w:lang w:val="ro-RO"/>
        </w:rPr>
        <w:tab/>
      </w:r>
      <w:r w:rsidRPr="009707FE">
        <w:rPr>
          <w:b/>
          <w:bCs/>
          <w:sz w:val="24"/>
          <w:szCs w:val="24"/>
          <w:lang w:val="ro-RO"/>
        </w:rPr>
        <w:tab/>
      </w:r>
    </w:p>
    <w:p w:rsidR="004F6623" w:rsidRPr="009707FE" w:rsidRDefault="004F6623" w:rsidP="004F6623">
      <w:pPr>
        <w:tabs>
          <w:tab w:val="left" w:pos="708"/>
          <w:tab w:val="left" w:pos="1416"/>
          <w:tab w:val="left" w:pos="2124"/>
          <w:tab w:val="left" w:pos="2832"/>
          <w:tab w:val="left" w:pos="3540"/>
          <w:tab w:val="left" w:pos="4248"/>
          <w:tab w:val="left" w:pos="4956"/>
          <w:tab w:val="right" w:pos="9360"/>
        </w:tabs>
        <w:ind w:firstLine="0"/>
        <w:rPr>
          <w:b/>
          <w:sz w:val="24"/>
          <w:szCs w:val="24"/>
          <w:lang w:val="ro-RO"/>
        </w:rPr>
      </w:pPr>
      <w:r w:rsidRPr="009707FE">
        <w:rPr>
          <w:b/>
          <w:sz w:val="24"/>
          <w:szCs w:val="24"/>
        </w:rPr>
        <w:t>M</w:t>
      </w:r>
      <w:r w:rsidRPr="009707FE">
        <w:rPr>
          <w:b/>
          <w:sz w:val="24"/>
          <w:szCs w:val="24"/>
          <w:lang w:val="ro-RO"/>
        </w:rPr>
        <w:t>inistrul Finanțelor</w:t>
      </w:r>
      <w:r w:rsidRPr="009707FE">
        <w:rPr>
          <w:b/>
          <w:sz w:val="24"/>
          <w:szCs w:val="24"/>
          <w:lang w:val="ro-RO"/>
        </w:rPr>
        <w:tab/>
      </w:r>
      <w:r w:rsidRPr="009707FE">
        <w:rPr>
          <w:b/>
          <w:sz w:val="24"/>
          <w:szCs w:val="24"/>
          <w:lang w:val="ro-RO"/>
        </w:rPr>
        <w:tab/>
      </w:r>
      <w:r w:rsidRPr="009707FE">
        <w:rPr>
          <w:b/>
          <w:sz w:val="24"/>
          <w:szCs w:val="24"/>
          <w:lang w:val="ro-RO"/>
        </w:rPr>
        <w:tab/>
      </w:r>
      <w:r w:rsidRPr="009707FE">
        <w:rPr>
          <w:b/>
          <w:sz w:val="24"/>
          <w:szCs w:val="24"/>
          <w:lang w:val="ro-RO"/>
        </w:rPr>
        <w:tab/>
      </w:r>
      <w:r w:rsidRPr="009707FE">
        <w:rPr>
          <w:b/>
          <w:sz w:val="24"/>
          <w:szCs w:val="24"/>
          <w:lang w:val="ro-RO"/>
        </w:rPr>
        <w:tab/>
        <w:t xml:space="preserve">                               </w:t>
      </w:r>
    </w:p>
    <w:p w:rsidR="004F6623" w:rsidRPr="009707FE" w:rsidRDefault="004F6623" w:rsidP="004F6623">
      <w:pPr>
        <w:ind w:firstLine="0"/>
        <w:rPr>
          <w:b/>
          <w:sz w:val="24"/>
          <w:szCs w:val="24"/>
          <w:lang w:val="ro-RO"/>
        </w:rPr>
      </w:pPr>
      <w:r w:rsidRPr="009707FE">
        <w:rPr>
          <w:b/>
          <w:sz w:val="24"/>
          <w:szCs w:val="24"/>
          <w:lang w:val="ro-RO"/>
        </w:rPr>
        <w:t>Ministrul Infrastructurii</w:t>
      </w:r>
      <w:r>
        <w:rPr>
          <w:b/>
          <w:sz w:val="24"/>
          <w:szCs w:val="24"/>
          <w:lang w:val="ro-RO"/>
        </w:rPr>
        <w:t xml:space="preserve"> şi Dezvoltării Regionale</w:t>
      </w:r>
      <w:r w:rsidRPr="009707FE">
        <w:rPr>
          <w:b/>
          <w:sz w:val="24"/>
          <w:szCs w:val="24"/>
          <w:lang w:val="ro-RO"/>
        </w:rPr>
        <w:t xml:space="preserve"> </w:t>
      </w:r>
      <w:r w:rsidRPr="009707FE">
        <w:rPr>
          <w:b/>
          <w:sz w:val="24"/>
          <w:szCs w:val="24"/>
          <w:lang w:val="ro-RO"/>
        </w:rPr>
        <w:tab/>
      </w:r>
      <w:r w:rsidRPr="009707FE">
        <w:rPr>
          <w:b/>
          <w:sz w:val="24"/>
          <w:szCs w:val="24"/>
          <w:lang w:val="ro-RO"/>
        </w:rPr>
        <w:tab/>
      </w:r>
      <w:r w:rsidRPr="009707FE">
        <w:rPr>
          <w:b/>
          <w:sz w:val="24"/>
          <w:szCs w:val="24"/>
          <w:lang w:val="ro-RO"/>
        </w:rPr>
        <w:tab/>
      </w:r>
      <w:r w:rsidRPr="009707FE">
        <w:rPr>
          <w:b/>
          <w:sz w:val="24"/>
          <w:szCs w:val="24"/>
          <w:lang w:val="ro-RO"/>
        </w:rPr>
        <w:tab/>
        <w:t xml:space="preserve">        </w:t>
      </w:r>
      <w:r w:rsidRPr="009707FE">
        <w:rPr>
          <w:b/>
          <w:sz w:val="24"/>
          <w:szCs w:val="24"/>
          <w:lang w:val="ro-RO"/>
        </w:rPr>
        <w:tab/>
        <w:t xml:space="preserve">                  </w:t>
      </w:r>
    </w:p>
    <w:p w:rsidR="004F6623" w:rsidRPr="003F798A" w:rsidRDefault="004F6623" w:rsidP="004F6623">
      <w:pPr>
        <w:ind w:firstLine="0"/>
        <w:jc w:val="left"/>
        <w:rPr>
          <w:b/>
          <w:sz w:val="24"/>
          <w:szCs w:val="24"/>
          <w:lang w:val="ro-RO" w:eastAsia="ru-RU"/>
        </w:rPr>
      </w:pPr>
    </w:p>
    <w:tbl>
      <w:tblPr>
        <w:tblW w:w="5134" w:type="pct"/>
        <w:tblCellSpacing w:w="75" w:type="dxa"/>
        <w:tblCellMar>
          <w:top w:w="150" w:type="dxa"/>
          <w:left w:w="150" w:type="dxa"/>
          <w:bottom w:w="150" w:type="dxa"/>
          <w:right w:w="150" w:type="dxa"/>
        </w:tblCellMar>
        <w:tblLook w:val="04A0" w:firstRow="1" w:lastRow="0" w:firstColumn="1" w:lastColumn="0" w:noHBand="0" w:noVBand="1"/>
      </w:tblPr>
      <w:tblGrid>
        <w:gridCol w:w="10221"/>
      </w:tblGrid>
      <w:tr w:rsidR="004F6623" w:rsidRPr="009707FE" w:rsidTr="00DF118A">
        <w:trPr>
          <w:tblCellSpacing w:w="75" w:type="dxa"/>
        </w:trPr>
        <w:tc>
          <w:tcPr>
            <w:tcW w:w="4853" w:type="pct"/>
            <w:vAlign w:val="center"/>
            <w:hideMark/>
          </w:tcPr>
          <w:p w:rsidR="004F6623" w:rsidRPr="009707FE" w:rsidRDefault="004F6623" w:rsidP="00DF118A">
            <w:pPr>
              <w:ind w:firstLine="0"/>
              <w:jc w:val="left"/>
              <w:rPr>
                <w:sz w:val="24"/>
                <w:szCs w:val="24"/>
              </w:rPr>
            </w:pPr>
          </w:p>
        </w:tc>
      </w:tr>
    </w:tbl>
    <w:p w:rsidR="004F6623" w:rsidRPr="00891130" w:rsidRDefault="004F6623" w:rsidP="004F6623">
      <w:pPr>
        <w:ind w:firstLine="0"/>
        <w:rPr>
          <w:sz w:val="24"/>
          <w:szCs w:val="24"/>
          <w:lang w:val="ro-RO"/>
        </w:rPr>
      </w:pPr>
    </w:p>
    <w:p w:rsidR="008251FE" w:rsidRDefault="008251FE" w:rsidP="004F6623">
      <w:pPr>
        <w:ind w:firstLine="0"/>
        <w:jc w:val="center"/>
        <w:rPr>
          <w:b/>
          <w:sz w:val="24"/>
          <w:szCs w:val="24"/>
          <w:lang w:val="ro-RO" w:eastAsia="ru-RU"/>
        </w:rPr>
      </w:pPr>
    </w:p>
    <w:p w:rsidR="00AA7747" w:rsidRDefault="00AA7747" w:rsidP="004F6623">
      <w:pPr>
        <w:ind w:firstLine="0"/>
        <w:jc w:val="center"/>
        <w:rPr>
          <w:b/>
          <w:sz w:val="24"/>
          <w:szCs w:val="24"/>
          <w:lang w:val="ro-RO" w:eastAsia="ru-RU"/>
        </w:rPr>
      </w:pPr>
    </w:p>
    <w:p w:rsidR="00AA7747" w:rsidRDefault="00AA7747" w:rsidP="004F6623">
      <w:pPr>
        <w:ind w:firstLine="0"/>
        <w:jc w:val="center"/>
        <w:rPr>
          <w:b/>
          <w:sz w:val="24"/>
          <w:szCs w:val="24"/>
          <w:lang w:val="ro-RO" w:eastAsia="ru-RU"/>
        </w:rPr>
      </w:pPr>
    </w:p>
    <w:p w:rsidR="00B06D18" w:rsidRDefault="00B06D18" w:rsidP="00B06D18">
      <w:pPr>
        <w:ind w:firstLine="0"/>
        <w:rPr>
          <w:b/>
          <w:sz w:val="24"/>
          <w:szCs w:val="24"/>
          <w:lang w:val="ro-RO" w:eastAsia="ru-RU"/>
        </w:rPr>
      </w:pPr>
    </w:p>
    <w:p w:rsidR="00F93763" w:rsidRDefault="00F93763" w:rsidP="004F6623">
      <w:pPr>
        <w:ind w:firstLine="0"/>
        <w:jc w:val="center"/>
        <w:rPr>
          <w:b/>
          <w:sz w:val="24"/>
          <w:szCs w:val="24"/>
          <w:lang w:val="ro-RO" w:eastAsia="ru-RU"/>
        </w:rPr>
      </w:pPr>
    </w:p>
    <w:p w:rsidR="00F93763" w:rsidRDefault="00F93763" w:rsidP="004F6623">
      <w:pPr>
        <w:ind w:firstLine="0"/>
        <w:jc w:val="center"/>
        <w:rPr>
          <w:b/>
          <w:sz w:val="24"/>
          <w:szCs w:val="24"/>
          <w:lang w:val="ro-RO" w:eastAsia="ru-RU"/>
        </w:rPr>
      </w:pPr>
    </w:p>
    <w:p w:rsidR="00F93763" w:rsidRDefault="00F93763" w:rsidP="004F6623">
      <w:pPr>
        <w:ind w:firstLine="0"/>
        <w:jc w:val="center"/>
        <w:rPr>
          <w:b/>
          <w:sz w:val="24"/>
          <w:szCs w:val="24"/>
          <w:lang w:val="ro-RO" w:eastAsia="ru-RU"/>
        </w:rPr>
      </w:pPr>
    </w:p>
    <w:p w:rsidR="004F6623" w:rsidRPr="00634DB1" w:rsidRDefault="004F6623" w:rsidP="004F6623">
      <w:pPr>
        <w:ind w:firstLine="0"/>
        <w:jc w:val="center"/>
        <w:rPr>
          <w:b/>
          <w:sz w:val="24"/>
          <w:szCs w:val="24"/>
          <w:lang w:val="ro-RO" w:eastAsia="ru-RU"/>
        </w:rPr>
      </w:pPr>
      <w:r w:rsidRPr="00634DB1">
        <w:rPr>
          <w:b/>
          <w:sz w:val="24"/>
          <w:szCs w:val="24"/>
          <w:lang w:val="ro-RO" w:eastAsia="ru-RU"/>
        </w:rPr>
        <w:lastRenderedPageBreak/>
        <w:t>NOTĂ INFORMATIVĂ</w:t>
      </w:r>
    </w:p>
    <w:p w:rsidR="004F6623" w:rsidRPr="00891130" w:rsidRDefault="004F6623" w:rsidP="004F6623">
      <w:pPr>
        <w:ind w:firstLine="0"/>
        <w:jc w:val="center"/>
        <w:rPr>
          <w:bCs/>
          <w:color w:val="000000"/>
          <w:sz w:val="24"/>
          <w:szCs w:val="24"/>
          <w:lang w:val="ro-RO" w:eastAsia="ru-RU"/>
        </w:rPr>
      </w:pPr>
      <w:r w:rsidRPr="00891130">
        <w:rPr>
          <w:sz w:val="24"/>
          <w:szCs w:val="24"/>
          <w:lang w:val="ro-RO" w:eastAsia="ru-RU"/>
        </w:rPr>
        <w:t xml:space="preserve">la proiectul hotărîrii Guvernului </w:t>
      </w:r>
      <w:r w:rsidRPr="00891130">
        <w:rPr>
          <w:bCs/>
          <w:color w:val="000000"/>
          <w:sz w:val="24"/>
          <w:szCs w:val="24"/>
          <w:lang w:val="ro-RO" w:eastAsia="ru-RU"/>
        </w:rPr>
        <w:t xml:space="preserve">cu privire la încheierea unui contract </w:t>
      </w:r>
      <w:r w:rsidRPr="00E15042">
        <w:rPr>
          <w:bCs/>
          <w:sz w:val="24"/>
          <w:szCs w:val="24"/>
          <w:lang w:eastAsia="ru-RU"/>
        </w:rPr>
        <w:t>de asistenţă juridică</w:t>
      </w:r>
    </w:p>
    <w:p w:rsidR="004F6623" w:rsidRPr="00891130" w:rsidRDefault="004F6623" w:rsidP="004F6623">
      <w:pPr>
        <w:ind w:firstLine="0"/>
        <w:rPr>
          <w:bCs/>
          <w:sz w:val="24"/>
          <w:szCs w:val="24"/>
          <w:lang w:val="ro-RO" w:eastAsia="ru-RU"/>
        </w:rPr>
      </w:pP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04"/>
      </w:tblGrid>
      <w:tr w:rsidR="004F6623" w:rsidRPr="00891130" w:rsidTr="00DF118A">
        <w:tc>
          <w:tcPr>
            <w:tcW w:w="5000" w:type="pct"/>
            <w:shd w:val="clear" w:color="auto" w:fill="A6A6A6"/>
          </w:tcPr>
          <w:p w:rsidR="004F6623" w:rsidRPr="00891130" w:rsidRDefault="004F6623" w:rsidP="00DF118A">
            <w:pPr>
              <w:numPr>
                <w:ilvl w:val="3"/>
                <w:numId w:val="1"/>
              </w:numPr>
              <w:tabs>
                <w:tab w:val="num" w:pos="2520"/>
              </w:tabs>
              <w:ind w:left="29" w:firstLine="0"/>
              <w:jc w:val="left"/>
              <w:rPr>
                <w:rFonts w:eastAsia="Calibri"/>
                <w:sz w:val="24"/>
                <w:szCs w:val="24"/>
                <w:lang w:val="ro-RO"/>
              </w:rPr>
            </w:pPr>
            <w:r w:rsidRPr="00891130">
              <w:rPr>
                <w:rFonts w:eastAsia="Calibri"/>
                <w:sz w:val="24"/>
                <w:szCs w:val="24"/>
                <w:lang w:val="ro-RO"/>
              </w:rPr>
              <w:t>Denumirea autorului şi, după caz, a participanţilor la elaborarea proiectului</w:t>
            </w:r>
          </w:p>
        </w:tc>
      </w:tr>
      <w:tr w:rsidR="004F6623" w:rsidRPr="00891130" w:rsidTr="00DF118A">
        <w:tc>
          <w:tcPr>
            <w:tcW w:w="5000" w:type="pct"/>
          </w:tcPr>
          <w:p w:rsidR="004F6623" w:rsidRPr="00891130" w:rsidRDefault="004F6623" w:rsidP="00DF118A">
            <w:pPr>
              <w:ind w:firstLine="0"/>
              <w:rPr>
                <w:rFonts w:eastAsia="Calibri"/>
                <w:sz w:val="24"/>
                <w:szCs w:val="24"/>
                <w:lang w:val="ro-RO"/>
              </w:rPr>
            </w:pPr>
            <w:r w:rsidRPr="00891130">
              <w:rPr>
                <w:rFonts w:eastAsia="Calibri"/>
                <w:sz w:val="24"/>
                <w:szCs w:val="24"/>
                <w:lang w:val="ro-RO"/>
              </w:rPr>
              <w:t xml:space="preserve">    </w:t>
            </w:r>
            <w:r>
              <w:rPr>
                <w:rFonts w:eastAsia="Calibri"/>
                <w:sz w:val="24"/>
                <w:szCs w:val="24"/>
                <w:lang w:val="ro-RO"/>
              </w:rPr>
              <w:t xml:space="preserve"> </w:t>
            </w:r>
            <w:r w:rsidRPr="00891130">
              <w:rPr>
                <w:rFonts w:eastAsia="Calibri"/>
                <w:sz w:val="24"/>
                <w:szCs w:val="24"/>
                <w:lang w:val="ro-RO"/>
              </w:rPr>
              <w:t>Ministerul Justiției</w:t>
            </w:r>
          </w:p>
        </w:tc>
      </w:tr>
      <w:tr w:rsidR="004F6623" w:rsidRPr="00891130" w:rsidTr="00DF118A">
        <w:tc>
          <w:tcPr>
            <w:tcW w:w="5000" w:type="pct"/>
            <w:shd w:val="clear" w:color="auto" w:fill="A6A6A6"/>
          </w:tcPr>
          <w:p w:rsidR="004F6623" w:rsidRPr="00891130" w:rsidRDefault="004F6623" w:rsidP="00DF118A">
            <w:pPr>
              <w:ind w:firstLine="0"/>
              <w:rPr>
                <w:rFonts w:eastAsia="Calibri"/>
                <w:sz w:val="24"/>
                <w:szCs w:val="24"/>
                <w:lang w:val="ro-RO"/>
              </w:rPr>
            </w:pPr>
            <w:r w:rsidRPr="00891130">
              <w:rPr>
                <w:rFonts w:eastAsia="Calibri"/>
                <w:sz w:val="24"/>
                <w:szCs w:val="24"/>
                <w:lang w:val="ro-RO"/>
              </w:rPr>
              <w:t>2. Condiţiile ce au impus elaborarea proiectului de act normativ şi finalităţile urmărite</w:t>
            </w:r>
          </w:p>
        </w:tc>
      </w:tr>
      <w:tr w:rsidR="004F6623" w:rsidRPr="00F474EF" w:rsidTr="00DF118A">
        <w:tc>
          <w:tcPr>
            <w:tcW w:w="5000" w:type="pct"/>
          </w:tcPr>
          <w:p w:rsidR="004F6623" w:rsidRPr="0022190E" w:rsidRDefault="004F6623" w:rsidP="00DF118A">
            <w:pPr>
              <w:spacing w:before="100" w:beforeAutospacing="1" w:after="100" w:afterAutospacing="1"/>
              <w:ind w:firstLine="0"/>
              <w:contextualSpacing/>
              <w:rPr>
                <w:iCs/>
                <w:sz w:val="24"/>
                <w:szCs w:val="24"/>
                <w:lang w:eastAsia="ru-RU"/>
              </w:rPr>
            </w:pPr>
            <w:r>
              <w:rPr>
                <w:sz w:val="24"/>
                <w:szCs w:val="24"/>
              </w:rPr>
              <w:t xml:space="preserve">   </w:t>
            </w:r>
            <w:r>
              <w:rPr>
                <w:color w:val="000000"/>
                <w:sz w:val="24"/>
                <w:szCs w:val="24"/>
              </w:rPr>
              <w:t xml:space="preserve">  </w:t>
            </w:r>
            <w:r w:rsidRPr="0022190E">
              <w:rPr>
                <w:sz w:val="24"/>
                <w:szCs w:val="24"/>
                <w:lang w:val="ro-RO" w:eastAsia="ru-RU"/>
              </w:rPr>
              <w:t>La data de</w:t>
            </w:r>
            <w:r w:rsidRPr="0022190E">
              <w:rPr>
                <w:sz w:val="24"/>
                <w:szCs w:val="24"/>
                <w:lang w:eastAsia="ru-RU"/>
              </w:rPr>
              <w:t xml:space="preserve"> 2 iunie 2016, </w:t>
            </w:r>
            <w:r w:rsidRPr="0022190E">
              <w:rPr>
                <w:iCs/>
                <w:sz w:val="24"/>
                <w:szCs w:val="24"/>
                <w:lang w:eastAsia="ru-RU"/>
              </w:rPr>
              <w:t xml:space="preserve"> </w:t>
            </w:r>
            <w:r w:rsidRPr="0022190E">
              <w:rPr>
                <w:sz w:val="24"/>
                <w:szCs w:val="24"/>
                <w:lang w:eastAsia="ru-RU"/>
              </w:rPr>
              <w:t xml:space="preserve">Gater Assets Limited (o companie cu răspundere limitată, organizată în conformitate cu legile Insulelor Virgine Britanice) </w:t>
            </w:r>
            <w:r w:rsidRPr="0022190E">
              <w:rPr>
                <w:iCs/>
                <w:sz w:val="24"/>
                <w:szCs w:val="24"/>
                <w:lang w:eastAsia="ru-RU"/>
              </w:rPr>
              <w:t>a iniţiat un litigiu împotriva Republicii Moldova</w:t>
            </w:r>
            <w:r w:rsidRPr="0022190E">
              <w:rPr>
                <w:sz w:val="24"/>
                <w:szCs w:val="24"/>
                <w:lang w:eastAsia="ru-RU"/>
              </w:rPr>
              <w:t xml:space="preserve"> alături de SC </w:t>
            </w:r>
            <w:r w:rsidRPr="0022190E">
              <w:rPr>
                <w:sz w:val="24"/>
                <w:szCs w:val="24"/>
                <w:lang w:val="ro-RO" w:eastAsia="ru-RU"/>
              </w:rPr>
              <w:t>„</w:t>
            </w:r>
            <w:r w:rsidRPr="0022190E">
              <w:rPr>
                <w:sz w:val="24"/>
                <w:szCs w:val="24"/>
                <w:lang w:eastAsia="ru-RU"/>
              </w:rPr>
              <w:t xml:space="preserve">Gazsnabtranzit” SA şi SC </w:t>
            </w:r>
            <w:r w:rsidRPr="0022190E">
              <w:rPr>
                <w:sz w:val="24"/>
                <w:szCs w:val="24"/>
                <w:lang w:val="ro-RO" w:eastAsia="ru-RU"/>
              </w:rPr>
              <w:t>„</w:t>
            </w:r>
            <w:r w:rsidRPr="0022190E">
              <w:rPr>
                <w:sz w:val="24"/>
                <w:szCs w:val="24"/>
                <w:lang w:eastAsia="ru-RU"/>
              </w:rPr>
              <w:t>Moldovagaz” SA</w:t>
            </w:r>
            <w:r w:rsidRPr="0022190E">
              <w:rPr>
                <w:i/>
                <w:iCs/>
                <w:sz w:val="24"/>
                <w:szCs w:val="24"/>
                <w:lang w:eastAsia="ru-RU"/>
              </w:rPr>
              <w:t xml:space="preserve">, </w:t>
            </w:r>
            <w:r w:rsidRPr="0022190E">
              <w:rPr>
                <w:iCs/>
                <w:sz w:val="24"/>
                <w:szCs w:val="24"/>
                <w:lang w:eastAsia="ru-RU"/>
              </w:rPr>
              <w:t xml:space="preserve"> în faţa Curţii Districtuale a Statelor Unite </w:t>
            </w:r>
            <w:r>
              <w:rPr>
                <w:iCs/>
                <w:sz w:val="24"/>
                <w:szCs w:val="24"/>
                <w:lang w:eastAsia="ru-RU"/>
              </w:rPr>
              <w:t xml:space="preserve">ale Americii </w:t>
            </w:r>
            <w:r w:rsidRPr="0022190E">
              <w:rPr>
                <w:iCs/>
                <w:sz w:val="24"/>
                <w:szCs w:val="24"/>
                <w:lang w:eastAsia="ru-RU"/>
              </w:rPr>
              <w:t xml:space="preserve">pentru Districtul Sudic al New York (SUA), prin care a solicitat reînnoirea hotărârii judecătoreşti în favoarea reclamantului şi împotriva SC </w:t>
            </w:r>
            <w:r w:rsidRPr="0022190E">
              <w:rPr>
                <w:sz w:val="24"/>
                <w:szCs w:val="24"/>
                <w:lang w:val="ro-RO" w:eastAsia="ru-RU"/>
              </w:rPr>
              <w:t>„</w:t>
            </w:r>
            <w:r w:rsidRPr="0022190E">
              <w:rPr>
                <w:iCs/>
                <w:sz w:val="24"/>
                <w:szCs w:val="24"/>
                <w:lang w:eastAsia="ru-RU"/>
              </w:rPr>
              <w:t xml:space="preserve">Gaznabtranzit” SA, SC </w:t>
            </w:r>
            <w:r w:rsidRPr="0022190E">
              <w:rPr>
                <w:sz w:val="24"/>
                <w:szCs w:val="24"/>
                <w:lang w:val="ro-RO" w:eastAsia="ru-RU"/>
              </w:rPr>
              <w:t>„</w:t>
            </w:r>
            <w:r w:rsidRPr="0022190E">
              <w:rPr>
                <w:iCs/>
                <w:sz w:val="24"/>
                <w:szCs w:val="24"/>
                <w:lang w:eastAsia="ru-RU"/>
              </w:rPr>
              <w:t>Moldovagaz” SA şi statului Republica Moldova, pronunţată pe 14 iulie 2000, prin care ultimii au fost obligaţi la plata prejudiciului şi dobînzii de întîrziere.</w:t>
            </w:r>
          </w:p>
          <w:p w:rsidR="004F6623" w:rsidRPr="0022190E" w:rsidRDefault="004F6623" w:rsidP="00DF118A">
            <w:pPr>
              <w:spacing w:before="100" w:beforeAutospacing="1" w:after="100" w:afterAutospacing="1"/>
              <w:ind w:firstLine="0"/>
              <w:contextualSpacing/>
              <w:rPr>
                <w:iCs/>
                <w:sz w:val="24"/>
                <w:szCs w:val="24"/>
                <w:lang w:eastAsia="ru-RU"/>
              </w:rPr>
            </w:pPr>
            <w:r>
              <w:rPr>
                <w:sz w:val="24"/>
                <w:szCs w:val="24"/>
                <w:lang w:val="ro-RO"/>
              </w:rPr>
              <w:t xml:space="preserve">      </w:t>
            </w:r>
            <w:r w:rsidRPr="0022190E">
              <w:rPr>
                <w:sz w:val="24"/>
                <w:szCs w:val="24"/>
                <w:lang w:val="ro-RO"/>
              </w:rPr>
              <w:t xml:space="preserve">Cauza are ca obiect reînnoirea hotărârii judecătoreşti din 14 iulie 2000 a </w:t>
            </w:r>
            <w:r w:rsidRPr="0022190E">
              <w:rPr>
                <w:iCs/>
                <w:sz w:val="24"/>
                <w:szCs w:val="24"/>
                <w:lang w:eastAsia="ru-RU"/>
              </w:rPr>
              <w:t xml:space="preserve">Curţii Districtuale a Statelor Unite </w:t>
            </w:r>
            <w:r>
              <w:rPr>
                <w:iCs/>
                <w:sz w:val="24"/>
                <w:szCs w:val="24"/>
                <w:lang w:eastAsia="ru-RU"/>
              </w:rPr>
              <w:t xml:space="preserve">ale Americii </w:t>
            </w:r>
            <w:r w:rsidRPr="0022190E">
              <w:rPr>
                <w:iCs/>
                <w:sz w:val="24"/>
                <w:szCs w:val="24"/>
                <w:lang w:eastAsia="ru-RU"/>
              </w:rPr>
              <w:t xml:space="preserve">pentru Districtul Sudic al New York (SUA), ce a rezultat din recunoaşterea unei sentinţe arbitrale din 12 noiembrie 1998, în urma arbitrajului instrumentat de Curtea de Arbitraj Comercial Internaţional de pe lângă Camera de Comerţ şi Industrie a Federaţiei Ruse cu sediul la Moscova, în temeiul unei clauze de arbitraj. </w:t>
            </w:r>
          </w:p>
          <w:p w:rsidR="004F6623" w:rsidRPr="0022190E" w:rsidRDefault="004F6623" w:rsidP="00DF118A">
            <w:pPr>
              <w:spacing w:before="100" w:beforeAutospacing="1" w:after="100" w:afterAutospacing="1"/>
              <w:ind w:firstLine="0"/>
              <w:contextualSpacing/>
              <w:rPr>
                <w:b/>
                <w:iCs/>
                <w:sz w:val="24"/>
                <w:szCs w:val="24"/>
              </w:rPr>
            </w:pPr>
            <w:r>
              <w:rPr>
                <w:iCs/>
                <w:sz w:val="24"/>
                <w:szCs w:val="24"/>
                <w:lang w:eastAsia="ru-RU"/>
              </w:rPr>
              <w:t xml:space="preserve">       </w:t>
            </w:r>
            <w:r w:rsidRPr="00E15042">
              <w:rPr>
                <w:b/>
                <w:iCs/>
                <w:sz w:val="24"/>
                <w:szCs w:val="24"/>
              </w:rPr>
              <w:t>La 27 septembrie 2019 Curtea Districtuală a Statelor Unite pentru Districtul Sudic al New York (SUA) a admis acţiunea înaintată şi a dispus recunoaşterea hotărârii judecătoreşti</w:t>
            </w:r>
            <w:r>
              <w:rPr>
                <w:b/>
                <w:sz w:val="24"/>
                <w:szCs w:val="24"/>
                <w:lang w:eastAsia="ru-RU"/>
              </w:rPr>
              <w:t xml:space="preserve"> din </w:t>
            </w:r>
            <w:r w:rsidRPr="0022190E">
              <w:rPr>
                <w:b/>
                <w:iCs/>
                <w:sz w:val="24"/>
                <w:szCs w:val="24"/>
              </w:rPr>
              <w:t>14 iulie 2000</w:t>
            </w:r>
            <w:r w:rsidRPr="00E15042">
              <w:rPr>
                <w:b/>
                <w:iCs/>
                <w:sz w:val="24"/>
                <w:szCs w:val="24"/>
              </w:rPr>
              <w:t xml:space="preserve"> în favoarea lui </w:t>
            </w:r>
            <w:r w:rsidRPr="00E15042">
              <w:rPr>
                <w:b/>
                <w:sz w:val="24"/>
                <w:szCs w:val="24"/>
                <w:lang w:eastAsia="ru-RU"/>
              </w:rPr>
              <w:t>Gater Assets Limited</w:t>
            </w:r>
            <w:r>
              <w:rPr>
                <w:b/>
                <w:sz w:val="24"/>
                <w:szCs w:val="24"/>
                <w:lang w:eastAsia="ru-RU"/>
              </w:rPr>
              <w:t xml:space="preserve"> </w:t>
            </w:r>
            <w:r w:rsidRPr="0022190E">
              <w:rPr>
                <w:b/>
                <w:iCs/>
                <w:sz w:val="24"/>
                <w:szCs w:val="24"/>
              </w:rPr>
              <w:t xml:space="preserve">precum şi încasarea prejudiciului în mod solidar </w:t>
            </w:r>
            <w:r>
              <w:rPr>
                <w:b/>
                <w:iCs/>
                <w:sz w:val="24"/>
                <w:szCs w:val="24"/>
              </w:rPr>
              <w:t xml:space="preserve">de la SC “Moldovagaz” SA şi </w:t>
            </w:r>
            <w:r w:rsidRPr="0022190E">
              <w:rPr>
                <w:b/>
                <w:iCs/>
                <w:sz w:val="24"/>
                <w:szCs w:val="24"/>
              </w:rPr>
              <w:t>Republica Moldova</w:t>
            </w:r>
            <w:r>
              <w:rPr>
                <w:b/>
                <w:iCs/>
                <w:sz w:val="24"/>
                <w:szCs w:val="24"/>
              </w:rPr>
              <w:t xml:space="preserve"> </w:t>
            </w:r>
            <w:r w:rsidRPr="0022190E">
              <w:rPr>
                <w:b/>
                <w:iCs/>
                <w:sz w:val="24"/>
                <w:szCs w:val="24"/>
              </w:rPr>
              <w:t xml:space="preserve">în sumă de 27 405 766,18 dolari SUA. Suma include datoria principală, potrivit deciziei din 2000, în sumă de  9 863 034,04 dolari SUA şi dobînda de întîrziere în sumă de 17 542 732,14 dolari SUA (calculate cu 6,375% anual din anul 2000). De asemenea, potrivit deciziei, co-pîrîţii sunt obligaţi să plătească 4 630,53 dolari SUA pe zi din momentul intrării în vigoare a deciziei, începînd cu 26 ianuarie 2017 pînă la 17 iulie 2017 inclusiv.  </w:t>
            </w:r>
          </w:p>
          <w:p w:rsidR="004F6623" w:rsidRPr="0022190E" w:rsidRDefault="004F6623" w:rsidP="00DF118A">
            <w:pPr>
              <w:spacing w:before="100" w:beforeAutospacing="1" w:after="100" w:afterAutospacing="1"/>
              <w:ind w:firstLine="0"/>
              <w:contextualSpacing/>
              <w:rPr>
                <w:iCs/>
                <w:sz w:val="24"/>
                <w:szCs w:val="24"/>
                <w:lang w:eastAsia="ru-RU"/>
              </w:rPr>
            </w:pPr>
            <w:r>
              <w:rPr>
                <w:iCs/>
                <w:sz w:val="24"/>
                <w:szCs w:val="24"/>
                <w:lang w:eastAsia="ru-RU"/>
              </w:rPr>
              <w:t xml:space="preserve">       </w:t>
            </w:r>
            <w:r w:rsidRPr="0022190E">
              <w:rPr>
                <w:iCs/>
                <w:sz w:val="24"/>
                <w:szCs w:val="24"/>
                <w:lang w:eastAsia="ru-RU"/>
              </w:rPr>
              <w:t>Nefiind de acord cu soluţia instanţei de fond, la 28 octombrie 2019</w:t>
            </w:r>
            <w:r>
              <w:rPr>
                <w:iCs/>
                <w:sz w:val="24"/>
                <w:szCs w:val="24"/>
                <w:lang w:eastAsia="ru-RU"/>
              </w:rPr>
              <w:t>,</w:t>
            </w:r>
            <w:r w:rsidRPr="0022190E">
              <w:rPr>
                <w:iCs/>
                <w:sz w:val="24"/>
                <w:szCs w:val="24"/>
                <w:lang w:eastAsia="ru-RU"/>
              </w:rPr>
              <w:t xml:space="preserve"> Republica Moldova a declarat apel la Curtea de Apel a Statelor Unite pentru al Doilea</w:t>
            </w:r>
            <w:r w:rsidRPr="0022190E">
              <w:rPr>
                <w:sz w:val="24"/>
                <w:szCs w:val="24"/>
                <w:lang w:eastAsia="ru-RU"/>
              </w:rPr>
              <w:t xml:space="preserve"> </w:t>
            </w:r>
            <w:r w:rsidRPr="0022190E">
              <w:rPr>
                <w:iCs/>
                <w:sz w:val="24"/>
                <w:szCs w:val="24"/>
                <w:lang w:eastAsia="ru-RU"/>
              </w:rPr>
              <w:t>Circuit</w:t>
            </w:r>
            <w:r w:rsidRPr="0022190E">
              <w:rPr>
                <w:sz w:val="24"/>
                <w:szCs w:val="24"/>
                <w:lang w:eastAsia="ru-RU"/>
              </w:rPr>
              <w:t xml:space="preserve"> </w:t>
            </w:r>
            <w:r w:rsidRPr="0022190E">
              <w:rPr>
                <w:iCs/>
                <w:sz w:val="24"/>
                <w:szCs w:val="24"/>
                <w:lang w:eastAsia="ru-RU"/>
              </w:rPr>
              <w:t xml:space="preserve">(SUA).   </w:t>
            </w:r>
          </w:p>
          <w:p w:rsidR="004F6623" w:rsidRDefault="004F6623" w:rsidP="00DF118A">
            <w:pPr>
              <w:spacing w:before="100" w:beforeAutospacing="1" w:after="100" w:afterAutospacing="1"/>
              <w:ind w:firstLine="0"/>
              <w:contextualSpacing/>
              <w:rPr>
                <w:sz w:val="24"/>
                <w:szCs w:val="24"/>
                <w:lang w:val="ro-RO" w:eastAsia="ru-RU"/>
              </w:rPr>
            </w:pPr>
            <w:r>
              <w:rPr>
                <w:iCs/>
                <w:sz w:val="24"/>
                <w:szCs w:val="24"/>
                <w:lang w:eastAsia="ru-RU"/>
              </w:rPr>
              <w:t xml:space="preserve">       </w:t>
            </w:r>
            <w:r w:rsidRPr="0022190E">
              <w:rPr>
                <w:sz w:val="24"/>
                <w:szCs w:val="24"/>
                <w:lang w:val="ro-RO" w:eastAsia="ru-RU"/>
              </w:rPr>
              <w:t xml:space="preserve">Totodată, în condiţiile </w:t>
            </w:r>
            <w:r>
              <w:rPr>
                <w:sz w:val="24"/>
                <w:szCs w:val="24"/>
                <w:lang w:val="ro-RO" w:eastAsia="ru-RU"/>
              </w:rPr>
              <w:t xml:space="preserve">pct. 17 din </w:t>
            </w:r>
            <w:r w:rsidRPr="00B82F4C">
              <w:rPr>
                <w:color w:val="000000"/>
                <w:sz w:val="24"/>
                <w:szCs w:val="24"/>
              </w:rPr>
              <w:t>Regulamentul privind modul de reprezentare a intereselor statului în instanţele judecătoreşti şi în instituţiile de arbitraj naţionale şi internaţionale</w:t>
            </w:r>
            <w:r w:rsidRPr="00B82F4C">
              <w:rPr>
                <w:sz w:val="24"/>
                <w:szCs w:val="24"/>
                <w:lang w:val="ro-RO"/>
              </w:rPr>
              <w:t xml:space="preserve">, aprobat prin </w:t>
            </w:r>
            <w:r w:rsidRPr="00B82F4C">
              <w:rPr>
                <w:color w:val="000000"/>
                <w:sz w:val="24"/>
                <w:szCs w:val="24"/>
              </w:rPr>
              <w:t>Hotărîrea Guvernului nr. 764/2012</w:t>
            </w:r>
            <w:r>
              <w:rPr>
                <w:sz w:val="24"/>
                <w:szCs w:val="24"/>
                <w:lang w:val="ro-RO" w:eastAsia="ru-RU"/>
              </w:rPr>
              <w:t>, a fost demarată procedura legală de organizare şi desfăşurare a concursului de selectare a reprezentanţilor intereselor statului în cauza respectivă.</w:t>
            </w:r>
          </w:p>
          <w:p w:rsidR="00E4718F" w:rsidRDefault="004F6623" w:rsidP="00DF118A">
            <w:pPr>
              <w:spacing w:before="100" w:beforeAutospacing="1" w:after="100" w:afterAutospacing="1"/>
              <w:ind w:firstLine="0"/>
              <w:contextualSpacing/>
              <w:rPr>
                <w:sz w:val="24"/>
                <w:szCs w:val="24"/>
              </w:rPr>
            </w:pPr>
            <w:r>
              <w:rPr>
                <w:sz w:val="24"/>
                <w:szCs w:val="24"/>
                <w:lang w:val="ro-RO" w:eastAsia="ru-RU"/>
              </w:rPr>
              <w:t xml:space="preserve">        Astfel, prin </w:t>
            </w:r>
            <w:r>
              <w:rPr>
                <w:iCs/>
                <w:sz w:val="24"/>
                <w:szCs w:val="24"/>
                <w:lang w:val="ro-RO" w:eastAsia="ru-RU"/>
              </w:rPr>
              <w:t>O</w:t>
            </w:r>
            <w:r w:rsidRPr="0022190E">
              <w:rPr>
                <w:iCs/>
                <w:sz w:val="24"/>
                <w:szCs w:val="24"/>
                <w:lang w:val="ro-RO" w:eastAsia="ru-RU"/>
              </w:rPr>
              <w:t>rdinul ministrului justiției nr. 273 din 24 octombrie 2019</w:t>
            </w:r>
            <w:r w:rsidRPr="0022190E">
              <w:rPr>
                <w:sz w:val="24"/>
                <w:szCs w:val="24"/>
                <w:lang w:val="ro-RO" w:eastAsia="ru-RU"/>
              </w:rPr>
              <w:t xml:space="preserve"> a fost desemnată </w:t>
            </w:r>
            <w:r w:rsidRPr="0022190E">
              <w:rPr>
                <w:sz w:val="24"/>
                <w:szCs w:val="24"/>
                <w:lang w:eastAsia="ru-RU"/>
              </w:rPr>
              <w:t xml:space="preserve">componenţa nominală a Comisiei guvernamentale pentru selectarea reprezentanţilor intereselor statului în </w:t>
            </w:r>
            <w:r>
              <w:rPr>
                <w:sz w:val="24"/>
                <w:szCs w:val="24"/>
                <w:lang w:eastAsia="ru-RU"/>
              </w:rPr>
              <w:t xml:space="preserve">instanţele judecătoreşti străine şi </w:t>
            </w:r>
            <w:r w:rsidRPr="0022190E">
              <w:rPr>
                <w:sz w:val="24"/>
                <w:szCs w:val="24"/>
                <w:lang w:eastAsia="ru-RU"/>
              </w:rPr>
              <w:t>instituţiile de arbitraj internaţionale</w:t>
            </w:r>
            <w:r>
              <w:rPr>
                <w:sz w:val="24"/>
                <w:szCs w:val="24"/>
                <w:lang w:eastAsia="ru-RU"/>
              </w:rPr>
              <w:t xml:space="preserve"> (în continuare - Comisia de selectare)</w:t>
            </w:r>
            <w:r w:rsidRPr="0022190E">
              <w:rPr>
                <w:sz w:val="24"/>
                <w:szCs w:val="24"/>
                <w:lang w:eastAsia="ru-RU"/>
              </w:rPr>
              <w:t xml:space="preserve">, </w:t>
            </w:r>
            <w:r>
              <w:rPr>
                <w:sz w:val="24"/>
                <w:szCs w:val="24"/>
                <w:lang w:eastAsia="ru-RU"/>
              </w:rPr>
              <w:t xml:space="preserve">iar cîştigătoare a concursului a fost desemnată la 21 noiembrie 2019 </w:t>
            </w:r>
            <w:r w:rsidRPr="0022190E">
              <w:rPr>
                <w:rFonts w:eastAsiaTheme="minorHAnsi"/>
                <w:color w:val="000000"/>
                <w:sz w:val="24"/>
                <w:szCs w:val="24"/>
              </w:rPr>
              <w:t xml:space="preserve">compania de avocatură </w:t>
            </w:r>
            <w:r w:rsidRPr="0022190E">
              <w:rPr>
                <w:rFonts w:eastAsiaTheme="minorHAnsi"/>
                <w:color w:val="000000"/>
                <w:sz w:val="24"/>
                <w:szCs w:val="24"/>
                <w:lang w:val="ro-RO"/>
              </w:rPr>
              <w:t>„</w:t>
            </w:r>
            <w:r w:rsidRPr="0022190E">
              <w:rPr>
                <w:sz w:val="24"/>
                <w:szCs w:val="24"/>
                <w:lang w:val="ro-RO" w:eastAsia="ru-RU"/>
              </w:rPr>
              <w:t xml:space="preserve">Steptoe </w:t>
            </w:r>
            <w:r w:rsidRPr="0022190E">
              <w:rPr>
                <w:sz w:val="24"/>
                <w:szCs w:val="24"/>
                <w:lang w:eastAsia="ru-RU"/>
              </w:rPr>
              <w:t xml:space="preserve">&amp; Johnson” LLP (Washington, SUA) </w:t>
            </w:r>
            <w:r w:rsidRPr="0022190E">
              <w:rPr>
                <w:sz w:val="24"/>
                <w:szCs w:val="24"/>
                <w:lang w:val="ro-RO" w:eastAsia="ru-RU"/>
              </w:rPr>
              <w:t>în parteneriat cu</w:t>
            </w:r>
            <w:r w:rsidRPr="0022190E">
              <w:rPr>
                <w:sz w:val="24"/>
                <w:szCs w:val="24"/>
                <w:lang w:val="it-IT" w:eastAsia="ru-RU"/>
              </w:rPr>
              <w:t xml:space="preserve"> Biroul asociat de avocaţi </w:t>
            </w:r>
            <w:r w:rsidRPr="0022190E">
              <w:rPr>
                <w:sz w:val="24"/>
                <w:szCs w:val="24"/>
                <w:lang w:val="ro-RO" w:eastAsia="ru-RU"/>
              </w:rPr>
              <w:t>„</w:t>
            </w:r>
            <w:r w:rsidRPr="0022190E">
              <w:rPr>
                <w:sz w:val="24"/>
                <w:szCs w:val="24"/>
                <w:lang w:val="it-IT" w:eastAsia="ru-RU"/>
              </w:rPr>
              <w:t>Tănase &amp; Partenerii” (Republica Moldova)</w:t>
            </w:r>
            <w:r w:rsidRPr="0022190E">
              <w:rPr>
                <w:sz w:val="24"/>
                <w:szCs w:val="24"/>
                <w:lang w:eastAsia="ru-RU"/>
              </w:rPr>
              <w:t>, oferta cărora corespunde</w:t>
            </w:r>
            <w:r w:rsidRPr="0022190E">
              <w:rPr>
                <w:sz w:val="24"/>
                <w:szCs w:val="24"/>
              </w:rPr>
              <w:t xml:space="preserve"> specificului activităţii de reprezentare în procedurile de executare a hotărîrilor judecătoreşti şi arbitrale, precum şi în instanţa de apel în cazuri similare. Compania de avocatură americană are o experienţă de 10 ani de reprezentare în litigii energetice şi în proceduri complexe cu implicarea unor companii din domeniul petrolului şi gazelor, inclusiv a statelor, precum şi în executarea hotărîrilor arbitrale.</w:t>
            </w:r>
          </w:p>
          <w:p w:rsidR="00E4718F" w:rsidRPr="00E4718F" w:rsidRDefault="00E4718F" w:rsidP="00E4718F">
            <w:pPr>
              <w:tabs>
                <w:tab w:val="left" w:pos="3431"/>
              </w:tabs>
              <w:ind w:firstLine="0"/>
              <w:contextualSpacing/>
              <w:rPr>
                <w:sz w:val="24"/>
                <w:szCs w:val="24"/>
              </w:rPr>
            </w:pPr>
            <w:r>
              <w:rPr>
                <w:sz w:val="24"/>
                <w:szCs w:val="24"/>
              </w:rPr>
              <w:t xml:space="preserve">         </w:t>
            </w:r>
            <w:r w:rsidRPr="0022190E">
              <w:rPr>
                <w:sz w:val="24"/>
                <w:szCs w:val="24"/>
                <w:lang w:val="ro-RO"/>
              </w:rPr>
              <w:t>Prin scrisoarea nr. 09/11370 din 21 noiembrie 2019</w:t>
            </w:r>
            <w:r>
              <w:rPr>
                <w:sz w:val="24"/>
                <w:szCs w:val="24"/>
                <w:lang w:val="ro-RO"/>
              </w:rPr>
              <w:t>,</w:t>
            </w:r>
            <w:r w:rsidRPr="0022190E">
              <w:rPr>
                <w:sz w:val="24"/>
                <w:szCs w:val="24"/>
                <w:lang w:val="ro-RO"/>
              </w:rPr>
              <w:t xml:space="preserve"> Ministerul Justiției a comunicat </w:t>
            </w:r>
            <w:r w:rsidRPr="0022190E">
              <w:rPr>
                <w:rFonts w:eastAsiaTheme="minorHAnsi"/>
                <w:color w:val="000000"/>
                <w:sz w:val="24"/>
                <w:szCs w:val="24"/>
              </w:rPr>
              <w:t xml:space="preserve">companiei de avocatură </w:t>
            </w:r>
            <w:r w:rsidRPr="0022190E">
              <w:rPr>
                <w:rFonts w:eastAsiaTheme="minorHAnsi"/>
                <w:color w:val="000000"/>
                <w:sz w:val="24"/>
                <w:szCs w:val="24"/>
                <w:lang w:val="ro-RO"/>
              </w:rPr>
              <w:t>„</w:t>
            </w:r>
            <w:r w:rsidRPr="0022190E">
              <w:rPr>
                <w:sz w:val="24"/>
                <w:szCs w:val="24"/>
                <w:lang w:val="ro-RO" w:eastAsia="ru-RU"/>
              </w:rPr>
              <w:t xml:space="preserve">Steptoe </w:t>
            </w:r>
            <w:r w:rsidRPr="0022190E">
              <w:rPr>
                <w:sz w:val="24"/>
                <w:szCs w:val="24"/>
                <w:lang w:eastAsia="ru-RU"/>
              </w:rPr>
              <w:t xml:space="preserve">&amp; Johnson” LLP (Washington, SUA) </w:t>
            </w:r>
            <w:r w:rsidRPr="0022190E">
              <w:rPr>
                <w:sz w:val="24"/>
                <w:szCs w:val="24"/>
                <w:lang w:val="ro-RO" w:eastAsia="ru-RU"/>
              </w:rPr>
              <w:t>în parteneriat cu</w:t>
            </w:r>
            <w:r w:rsidRPr="0022190E">
              <w:rPr>
                <w:sz w:val="24"/>
                <w:szCs w:val="24"/>
                <w:lang w:val="it-IT" w:eastAsia="ru-RU"/>
              </w:rPr>
              <w:t xml:space="preserve"> Biroul asociat de avocaţi </w:t>
            </w:r>
            <w:r w:rsidRPr="0022190E">
              <w:rPr>
                <w:sz w:val="24"/>
                <w:szCs w:val="24"/>
                <w:lang w:val="ro-RO" w:eastAsia="ru-RU"/>
              </w:rPr>
              <w:t>„</w:t>
            </w:r>
            <w:r w:rsidRPr="0022190E">
              <w:rPr>
                <w:sz w:val="24"/>
                <w:szCs w:val="24"/>
                <w:lang w:val="it-IT" w:eastAsia="ru-RU"/>
              </w:rPr>
              <w:t xml:space="preserve">Tănase &amp; </w:t>
            </w:r>
            <w:r>
              <w:rPr>
                <w:sz w:val="24"/>
                <w:szCs w:val="24"/>
                <w:lang w:val="it-IT" w:eastAsia="ru-RU"/>
              </w:rPr>
              <w:t>Partenerii” (Republica Moldova)</w:t>
            </w:r>
            <w:r w:rsidRPr="0022190E">
              <w:rPr>
                <w:sz w:val="24"/>
                <w:szCs w:val="24"/>
                <w:lang w:eastAsia="ru-RU"/>
              </w:rPr>
              <w:t xml:space="preserve"> că oferta acestora este cîștigătoare. </w:t>
            </w:r>
          </w:p>
          <w:p w:rsidR="004F6623" w:rsidRPr="00E4718F" w:rsidRDefault="00FB1DE4" w:rsidP="00DF118A">
            <w:pPr>
              <w:spacing w:before="100" w:beforeAutospacing="1" w:after="100" w:afterAutospacing="1"/>
              <w:ind w:firstLine="0"/>
              <w:contextualSpacing/>
              <w:rPr>
                <w:sz w:val="24"/>
                <w:szCs w:val="24"/>
              </w:rPr>
            </w:pPr>
            <w:r>
              <w:rPr>
                <w:sz w:val="24"/>
                <w:szCs w:val="24"/>
              </w:rPr>
              <w:t xml:space="preserve">        </w:t>
            </w:r>
            <w:r w:rsidR="00E4718F">
              <w:rPr>
                <w:sz w:val="24"/>
                <w:szCs w:val="24"/>
              </w:rPr>
              <w:t xml:space="preserve"> </w:t>
            </w:r>
            <w:r w:rsidR="00E4718F" w:rsidRPr="00E4718F">
              <w:rPr>
                <w:sz w:val="24"/>
                <w:szCs w:val="24"/>
                <w:lang w:val="fr-FR"/>
              </w:rPr>
              <w:t>Se va nota că, oferta de preţ a companiei de avocatură cîştigătoare a</w:t>
            </w:r>
            <w:r w:rsidR="00E4718F">
              <w:rPr>
                <w:sz w:val="24"/>
                <w:szCs w:val="24"/>
                <w:lang w:val="fr-FR"/>
              </w:rPr>
              <w:t xml:space="preserve"> concursului a fost suma de 171 5</w:t>
            </w:r>
            <w:r w:rsidR="00E4718F" w:rsidRPr="00E4718F">
              <w:rPr>
                <w:sz w:val="24"/>
                <w:szCs w:val="24"/>
                <w:lang w:val="fr-FR"/>
              </w:rPr>
              <w:t xml:space="preserve">00,00  </w:t>
            </w:r>
            <w:r w:rsidR="00E4718F" w:rsidRPr="00E4718F">
              <w:rPr>
                <w:sz w:val="24"/>
                <w:szCs w:val="24"/>
                <w:lang w:val="ro-RO"/>
              </w:rPr>
              <w:t>dolari SUA pentru serviciile juridice de reprezentare a Republicii Moldova în faţa</w:t>
            </w:r>
            <w:r w:rsidR="00E4718F" w:rsidRPr="0022190E">
              <w:rPr>
                <w:iCs/>
                <w:sz w:val="24"/>
                <w:szCs w:val="24"/>
                <w:lang w:eastAsia="ru-RU"/>
              </w:rPr>
              <w:t xml:space="preserve"> </w:t>
            </w:r>
            <w:r w:rsidR="00E4718F">
              <w:rPr>
                <w:iCs/>
                <w:sz w:val="24"/>
                <w:szCs w:val="24"/>
                <w:lang w:eastAsia="ru-RU"/>
              </w:rPr>
              <w:t>Curţii</w:t>
            </w:r>
            <w:r w:rsidR="00E4718F" w:rsidRPr="0022190E">
              <w:rPr>
                <w:iCs/>
                <w:sz w:val="24"/>
                <w:szCs w:val="24"/>
                <w:lang w:eastAsia="ru-RU"/>
              </w:rPr>
              <w:t xml:space="preserve"> de Apel a Statelor Unite pentru al Doilea</w:t>
            </w:r>
            <w:r w:rsidR="00E4718F" w:rsidRPr="0022190E">
              <w:rPr>
                <w:sz w:val="24"/>
                <w:szCs w:val="24"/>
                <w:lang w:eastAsia="ru-RU"/>
              </w:rPr>
              <w:t xml:space="preserve"> </w:t>
            </w:r>
            <w:r w:rsidR="00E4718F" w:rsidRPr="0022190E">
              <w:rPr>
                <w:iCs/>
                <w:sz w:val="24"/>
                <w:szCs w:val="24"/>
                <w:lang w:eastAsia="ru-RU"/>
              </w:rPr>
              <w:t>Circuit</w:t>
            </w:r>
            <w:r w:rsidR="00E4718F" w:rsidRPr="0022190E">
              <w:rPr>
                <w:sz w:val="24"/>
                <w:szCs w:val="24"/>
                <w:lang w:eastAsia="ru-RU"/>
              </w:rPr>
              <w:t xml:space="preserve"> </w:t>
            </w:r>
            <w:r w:rsidR="00E4718F" w:rsidRPr="0022190E">
              <w:rPr>
                <w:iCs/>
                <w:sz w:val="24"/>
                <w:szCs w:val="24"/>
                <w:lang w:eastAsia="ru-RU"/>
              </w:rPr>
              <w:t xml:space="preserve">(SUA).   </w:t>
            </w:r>
          </w:p>
          <w:p w:rsidR="004F6623" w:rsidRPr="0022190E" w:rsidRDefault="00E4718F" w:rsidP="00E4718F">
            <w:pPr>
              <w:tabs>
                <w:tab w:val="left" w:pos="3431"/>
              </w:tabs>
              <w:ind w:firstLine="0"/>
              <w:contextualSpacing/>
              <w:rPr>
                <w:sz w:val="24"/>
                <w:szCs w:val="24"/>
                <w:lang w:val="ro-RO"/>
              </w:rPr>
            </w:pPr>
            <w:r>
              <w:rPr>
                <w:sz w:val="24"/>
                <w:szCs w:val="24"/>
              </w:rPr>
              <w:t xml:space="preserve">       </w:t>
            </w:r>
            <w:r w:rsidR="00FB1DE4">
              <w:rPr>
                <w:sz w:val="24"/>
                <w:szCs w:val="24"/>
                <w:lang w:val="ro-RO"/>
              </w:rPr>
              <w:t xml:space="preserve">  </w:t>
            </w:r>
            <w:r w:rsidR="004F6623" w:rsidRPr="0022190E">
              <w:rPr>
                <w:sz w:val="24"/>
                <w:szCs w:val="24"/>
              </w:rPr>
              <w:t xml:space="preserve">La 18 decembrie 2019 reprezentantul companiei </w:t>
            </w:r>
            <w:r w:rsidR="004F6623" w:rsidRPr="0022190E">
              <w:rPr>
                <w:rFonts w:eastAsiaTheme="minorHAnsi"/>
                <w:color w:val="000000"/>
                <w:sz w:val="24"/>
                <w:szCs w:val="24"/>
              </w:rPr>
              <w:t xml:space="preserve">de avocatură </w:t>
            </w:r>
            <w:r w:rsidR="004F6623" w:rsidRPr="0022190E">
              <w:rPr>
                <w:rFonts w:eastAsiaTheme="minorHAnsi"/>
                <w:color w:val="000000"/>
                <w:sz w:val="24"/>
                <w:szCs w:val="24"/>
                <w:lang w:val="ro-RO"/>
              </w:rPr>
              <w:t>„</w:t>
            </w:r>
            <w:r w:rsidR="004F6623" w:rsidRPr="0022190E">
              <w:rPr>
                <w:sz w:val="24"/>
                <w:szCs w:val="24"/>
                <w:lang w:val="ro-RO" w:eastAsia="ru-RU"/>
              </w:rPr>
              <w:t xml:space="preserve">Steptoe </w:t>
            </w:r>
            <w:r w:rsidR="004F6623" w:rsidRPr="0022190E">
              <w:rPr>
                <w:sz w:val="24"/>
                <w:szCs w:val="24"/>
                <w:lang w:eastAsia="ru-RU"/>
              </w:rPr>
              <w:t>&amp; Johnson” LLP (Washington, SUA)</w:t>
            </w:r>
            <w:r w:rsidR="004F6623">
              <w:rPr>
                <w:sz w:val="24"/>
                <w:szCs w:val="24"/>
                <w:lang w:eastAsia="ru-RU"/>
              </w:rPr>
              <w:t>,</w:t>
            </w:r>
            <w:r w:rsidR="004F6623">
              <w:rPr>
                <w:sz w:val="24"/>
                <w:szCs w:val="24"/>
              </w:rPr>
              <w:t xml:space="preserve"> d</w:t>
            </w:r>
            <w:r w:rsidR="004F6623" w:rsidRPr="0022190E">
              <w:rPr>
                <w:sz w:val="24"/>
                <w:szCs w:val="24"/>
              </w:rPr>
              <w:t>l</w:t>
            </w:r>
            <w:r w:rsidR="004F6623">
              <w:rPr>
                <w:sz w:val="24"/>
                <w:szCs w:val="24"/>
              </w:rPr>
              <w:t>.</w:t>
            </w:r>
            <w:r w:rsidR="004F6623" w:rsidRPr="0022190E">
              <w:rPr>
                <w:sz w:val="24"/>
                <w:szCs w:val="24"/>
              </w:rPr>
              <w:t xml:space="preserve"> Edward BALDWIN, care este și avocatul principal pe cauza dată a întreprins o vizită de lucru în Republica Moldova. În aceeași zi, a avut loc o ședință la Ministerul J</w:t>
            </w:r>
            <w:r w:rsidR="004F6623">
              <w:rPr>
                <w:sz w:val="24"/>
                <w:szCs w:val="24"/>
              </w:rPr>
              <w:t>ustiției la care au participat d</w:t>
            </w:r>
            <w:r w:rsidR="004F6623" w:rsidRPr="0022190E">
              <w:rPr>
                <w:sz w:val="24"/>
                <w:szCs w:val="24"/>
              </w:rPr>
              <w:t xml:space="preserve">nii avocați Edward BALDWIN, Alexandru TĂNASE și Andrei </w:t>
            </w:r>
            <w:r w:rsidR="004F6623" w:rsidRPr="0022190E">
              <w:rPr>
                <w:sz w:val="24"/>
                <w:szCs w:val="24"/>
              </w:rPr>
              <w:lastRenderedPageBreak/>
              <w:t>BIVOL din partea echipei de apărare a Guvernului</w:t>
            </w:r>
            <w:r w:rsidR="004F6623">
              <w:rPr>
                <w:sz w:val="24"/>
                <w:szCs w:val="24"/>
              </w:rPr>
              <w:t>,</w:t>
            </w:r>
            <w:r w:rsidR="004F6623" w:rsidRPr="0022190E">
              <w:rPr>
                <w:sz w:val="24"/>
                <w:szCs w:val="24"/>
              </w:rPr>
              <w:t xml:space="preserve"> pe de o parte</w:t>
            </w:r>
            <w:r w:rsidR="004F6623">
              <w:rPr>
                <w:sz w:val="24"/>
                <w:szCs w:val="24"/>
              </w:rPr>
              <w:t>, și d</w:t>
            </w:r>
            <w:r w:rsidR="004F6623" w:rsidRPr="0022190E">
              <w:rPr>
                <w:sz w:val="24"/>
                <w:szCs w:val="24"/>
              </w:rPr>
              <w:t>nii Eduard</w:t>
            </w:r>
            <w:r w:rsidR="004F6623">
              <w:rPr>
                <w:sz w:val="24"/>
                <w:szCs w:val="24"/>
              </w:rPr>
              <w:t xml:space="preserve"> SERBENCO</w:t>
            </w:r>
            <w:r w:rsidR="004F6623" w:rsidRPr="0022190E">
              <w:rPr>
                <w:sz w:val="24"/>
                <w:szCs w:val="24"/>
              </w:rPr>
              <w:t>, Constantin CACHIŢA (Ministerul Justiției) și Alexandru OTGON (Ministerul Economiei și Infrastructurii) din partea Guvernului. În cadrul acestei întâlniri echipa de apărare a prezentat esența și viciile hotărârii instanței de fond, argumentele Guvernului în instanța de apel</w:t>
            </w:r>
            <w:r w:rsidR="004F6623">
              <w:rPr>
                <w:sz w:val="24"/>
                <w:szCs w:val="24"/>
              </w:rPr>
              <w:t>,</w:t>
            </w:r>
            <w:r w:rsidR="004F6623" w:rsidRPr="0022190E">
              <w:rPr>
                <w:sz w:val="24"/>
                <w:szCs w:val="24"/>
              </w:rPr>
              <w:t xml:space="preserve"> precum și etapele și termenele de procedură.</w:t>
            </w:r>
          </w:p>
          <w:p w:rsidR="004F6623" w:rsidRPr="0022190E" w:rsidRDefault="004F6623" w:rsidP="00DF118A">
            <w:pPr>
              <w:tabs>
                <w:tab w:val="left" w:pos="3431"/>
              </w:tabs>
              <w:spacing w:after="200"/>
              <w:ind w:firstLine="0"/>
              <w:contextualSpacing/>
              <w:rPr>
                <w:sz w:val="24"/>
                <w:szCs w:val="24"/>
              </w:rPr>
            </w:pPr>
            <w:r w:rsidRPr="0022190E">
              <w:rPr>
                <w:sz w:val="24"/>
                <w:szCs w:val="24"/>
              </w:rPr>
              <w:t xml:space="preserve">        La 23 decembrie 2019</w:t>
            </w:r>
            <w:r>
              <w:rPr>
                <w:sz w:val="24"/>
                <w:szCs w:val="24"/>
              </w:rPr>
              <w:t>,</w:t>
            </w:r>
            <w:r w:rsidRPr="0022190E">
              <w:rPr>
                <w:sz w:val="24"/>
                <w:szCs w:val="24"/>
              </w:rPr>
              <w:t xml:space="preserve"> în adresa persoanelor responsabile din cadrul Ministerului Justiției și Ministerului Economiei și Infrastructurii  a fost transmis proiectul Contractului de servicii juridice ce urma a fi încheiat între Guvern și compania </w:t>
            </w:r>
            <w:r w:rsidRPr="0022190E">
              <w:rPr>
                <w:rFonts w:eastAsiaTheme="minorHAnsi"/>
                <w:color w:val="000000"/>
                <w:sz w:val="24"/>
                <w:szCs w:val="24"/>
              </w:rPr>
              <w:t xml:space="preserve">de avocatură </w:t>
            </w:r>
            <w:r w:rsidRPr="0022190E">
              <w:rPr>
                <w:rFonts w:eastAsiaTheme="minorHAnsi"/>
                <w:color w:val="000000"/>
                <w:sz w:val="24"/>
                <w:szCs w:val="24"/>
                <w:lang w:val="ro-RO"/>
              </w:rPr>
              <w:t>„</w:t>
            </w:r>
            <w:r w:rsidRPr="0022190E">
              <w:rPr>
                <w:sz w:val="24"/>
                <w:szCs w:val="24"/>
              </w:rPr>
              <w:t xml:space="preserve">Steptoe &amp; Johnson” LLP care a subcontractat serviciile BAA </w:t>
            </w:r>
            <w:r w:rsidRPr="0022190E">
              <w:rPr>
                <w:sz w:val="24"/>
                <w:szCs w:val="24"/>
                <w:lang w:val="ro-RO"/>
              </w:rPr>
              <w:t>„</w:t>
            </w:r>
            <w:r w:rsidRPr="0022190E">
              <w:rPr>
                <w:sz w:val="24"/>
                <w:szCs w:val="24"/>
              </w:rPr>
              <w:t>Tănase &amp;</w:t>
            </w:r>
            <w:r>
              <w:rPr>
                <w:sz w:val="24"/>
                <w:szCs w:val="24"/>
              </w:rPr>
              <w:t xml:space="preserve"> Partenerii”. Aceste contract</w:t>
            </w:r>
            <w:r w:rsidRPr="0022190E">
              <w:rPr>
                <w:sz w:val="24"/>
                <w:szCs w:val="24"/>
              </w:rPr>
              <w:t xml:space="preserve"> a </w:t>
            </w:r>
            <w:r>
              <w:rPr>
                <w:sz w:val="24"/>
                <w:szCs w:val="24"/>
              </w:rPr>
              <w:t>rămas ne</w:t>
            </w:r>
            <w:r w:rsidRPr="0022190E">
              <w:rPr>
                <w:sz w:val="24"/>
                <w:szCs w:val="24"/>
              </w:rPr>
              <w:t xml:space="preserve">încheiat până în prezent de Guvern. Conform prevederilor proiectului contractului, în cazul în care Clientul acceptă și primește serviciile prestate de compania </w:t>
            </w:r>
            <w:r w:rsidRPr="0022190E">
              <w:rPr>
                <w:rFonts w:eastAsiaTheme="minorHAnsi"/>
                <w:color w:val="000000"/>
                <w:sz w:val="24"/>
                <w:szCs w:val="24"/>
              </w:rPr>
              <w:t xml:space="preserve">de avocatură </w:t>
            </w:r>
            <w:r w:rsidRPr="0022190E">
              <w:rPr>
                <w:sz w:val="24"/>
                <w:szCs w:val="24"/>
              </w:rPr>
              <w:t>Steptoe &amp; Johnson LLP, contractul va fi considerat încheiat.</w:t>
            </w:r>
          </w:p>
          <w:p w:rsidR="004F6623" w:rsidRPr="0022190E" w:rsidRDefault="004F6623" w:rsidP="00DF118A">
            <w:pPr>
              <w:tabs>
                <w:tab w:val="left" w:pos="3431"/>
              </w:tabs>
              <w:spacing w:after="200"/>
              <w:ind w:firstLine="0"/>
              <w:contextualSpacing/>
              <w:rPr>
                <w:sz w:val="24"/>
                <w:szCs w:val="24"/>
              </w:rPr>
            </w:pPr>
            <w:r w:rsidRPr="0022190E">
              <w:rPr>
                <w:sz w:val="24"/>
                <w:szCs w:val="24"/>
              </w:rPr>
              <w:t xml:space="preserve">       Apelul motivat urma a fi depus</w:t>
            </w:r>
            <w:r>
              <w:rPr>
                <w:sz w:val="24"/>
                <w:szCs w:val="24"/>
              </w:rPr>
              <w:t xml:space="preserve"> </w:t>
            </w:r>
            <w:r>
              <w:rPr>
                <w:sz w:val="24"/>
                <w:szCs w:val="24"/>
                <w:lang w:val="ro-RO"/>
              </w:rPr>
              <w:t>pînă</w:t>
            </w:r>
            <w:r w:rsidRPr="0022190E">
              <w:rPr>
                <w:sz w:val="24"/>
                <w:szCs w:val="24"/>
              </w:rPr>
              <w:t xml:space="preserve"> la data de 13 martie 2020, sub sancțiune</w:t>
            </w:r>
            <w:r>
              <w:rPr>
                <w:sz w:val="24"/>
                <w:szCs w:val="24"/>
              </w:rPr>
              <w:t>a</w:t>
            </w:r>
            <w:r w:rsidRPr="0022190E">
              <w:rPr>
                <w:sz w:val="24"/>
                <w:szCs w:val="24"/>
              </w:rPr>
              <w:t xml:space="preserve"> decăderii din dreptul de a mai depune apel</w:t>
            </w:r>
            <w:r>
              <w:rPr>
                <w:sz w:val="24"/>
                <w:szCs w:val="24"/>
              </w:rPr>
              <w:t xml:space="preserve"> în cazul omiterii termenului</w:t>
            </w:r>
            <w:r w:rsidRPr="0022190E">
              <w:rPr>
                <w:sz w:val="24"/>
                <w:szCs w:val="24"/>
              </w:rPr>
              <w:t>. În pofida lipsei deciziei Guvernului asupra contractului și onorariilor avocaților, pentru a nu admite</w:t>
            </w:r>
            <w:r>
              <w:rPr>
                <w:sz w:val="24"/>
                <w:szCs w:val="24"/>
              </w:rPr>
              <w:t xml:space="preserve"> riscul ca Guvernul să piardă în</w:t>
            </w:r>
            <w:r w:rsidRPr="0022190E">
              <w:rPr>
                <w:sz w:val="24"/>
                <w:szCs w:val="24"/>
              </w:rPr>
              <w:t xml:space="preserve"> procedura de apel, compania </w:t>
            </w:r>
            <w:r w:rsidRPr="0022190E">
              <w:rPr>
                <w:rFonts w:eastAsiaTheme="minorHAnsi"/>
                <w:color w:val="000000"/>
                <w:sz w:val="24"/>
                <w:szCs w:val="24"/>
              </w:rPr>
              <w:t xml:space="preserve">de avocatură </w:t>
            </w:r>
            <w:r w:rsidRPr="0022190E">
              <w:rPr>
                <w:rFonts w:eastAsiaTheme="minorHAnsi"/>
                <w:color w:val="000000"/>
                <w:sz w:val="24"/>
                <w:szCs w:val="24"/>
                <w:lang w:val="ro-RO"/>
              </w:rPr>
              <w:t>„</w:t>
            </w:r>
            <w:r w:rsidRPr="0022190E">
              <w:rPr>
                <w:sz w:val="24"/>
                <w:szCs w:val="24"/>
              </w:rPr>
              <w:t>Steptoe &amp; Johnson” LLP a depus apelul motivat în termenul stabilit de instanță.</w:t>
            </w:r>
          </w:p>
          <w:p w:rsidR="004F6623" w:rsidRPr="0022190E" w:rsidRDefault="004F6623" w:rsidP="00DF118A">
            <w:pPr>
              <w:tabs>
                <w:tab w:val="left" w:pos="3431"/>
              </w:tabs>
              <w:spacing w:after="200"/>
              <w:ind w:firstLine="0"/>
              <w:contextualSpacing/>
              <w:rPr>
                <w:sz w:val="24"/>
                <w:szCs w:val="24"/>
                <w:lang w:eastAsia="ru-RU"/>
              </w:rPr>
            </w:pPr>
            <w:r w:rsidRPr="0022190E">
              <w:rPr>
                <w:sz w:val="24"/>
                <w:szCs w:val="24"/>
              </w:rPr>
              <w:t xml:space="preserve">       De asemenea, </w:t>
            </w:r>
            <w:r w:rsidRPr="0022190E">
              <w:rPr>
                <w:sz w:val="24"/>
                <w:szCs w:val="24"/>
                <w:shd w:val="clear" w:color="auto" w:fill="FFFFFF"/>
              </w:rPr>
              <w:t>în lipsa unui contractului, bazându-se pe principiul bunei-credințe și asigurările primite din partea</w:t>
            </w:r>
            <w:r w:rsidRPr="0022190E">
              <w:rPr>
                <w:color w:val="073763"/>
                <w:sz w:val="24"/>
                <w:szCs w:val="24"/>
                <w:shd w:val="clear" w:color="auto" w:fill="FFFFFF"/>
              </w:rPr>
              <w:t xml:space="preserve"> </w:t>
            </w:r>
            <w:r w:rsidRPr="0022190E">
              <w:rPr>
                <w:sz w:val="24"/>
                <w:szCs w:val="24"/>
              </w:rPr>
              <w:t>Ministerului Justiției și Ministerului Economiei și Infrastructurii</w:t>
            </w:r>
            <w:r>
              <w:rPr>
                <w:sz w:val="24"/>
                <w:szCs w:val="24"/>
              </w:rPr>
              <w:t>,</w:t>
            </w:r>
            <w:r w:rsidRPr="0022190E">
              <w:rPr>
                <w:sz w:val="24"/>
                <w:szCs w:val="24"/>
              </w:rPr>
              <w:t xml:space="preserve"> compania </w:t>
            </w:r>
            <w:r w:rsidRPr="0022190E">
              <w:rPr>
                <w:rFonts w:eastAsiaTheme="minorHAnsi"/>
                <w:color w:val="000000"/>
                <w:sz w:val="24"/>
                <w:szCs w:val="24"/>
              </w:rPr>
              <w:t xml:space="preserve">de avocatură </w:t>
            </w:r>
            <w:r w:rsidRPr="0022190E">
              <w:rPr>
                <w:rFonts w:eastAsiaTheme="minorHAnsi"/>
                <w:color w:val="000000"/>
                <w:sz w:val="24"/>
                <w:szCs w:val="24"/>
                <w:lang w:val="ro-RO"/>
              </w:rPr>
              <w:t>„</w:t>
            </w:r>
            <w:r w:rsidRPr="0022190E">
              <w:rPr>
                <w:sz w:val="24"/>
                <w:szCs w:val="24"/>
              </w:rPr>
              <w:t xml:space="preserve">Steptoe &amp; Johnson” LLP a întocmit și prezentat la 21 iulie 2020 observațiile la referința lui </w:t>
            </w:r>
            <w:r w:rsidRPr="0022190E">
              <w:rPr>
                <w:sz w:val="24"/>
                <w:szCs w:val="24"/>
                <w:lang w:eastAsia="ru-RU"/>
              </w:rPr>
              <w:t xml:space="preserve">Gater Assets Limited în legătură cu apelul motivat depus anterior de Republica Moldova.  </w:t>
            </w:r>
          </w:p>
          <w:p w:rsidR="004F6623" w:rsidRPr="0022190E" w:rsidRDefault="004F6623" w:rsidP="00DF118A">
            <w:pPr>
              <w:tabs>
                <w:tab w:val="left" w:pos="3431"/>
              </w:tabs>
              <w:spacing w:after="200"/>
              <w:ind w:firstLine="0"/>
              <w:contextualSpacing/>
              <w:rPr>
                <w:rFonts w:eastAsiaTheme="minorHAnsi"/>
                <w:sz w:val="24"/>
                <w:szCs w:val="24"/>
              </w:rPr>
            </w:pPr>
            <w:r>
              <w:rPr>
                <w:sz w:val="24"/>
                <w:szCs w:val="24"/>
                <w:shd w:val="clear" w:color="auto" w:fill="FFFFFF"/>
              </w:rPr>
              <w:t xml:space="preserve">      </w:t>
            </w:r>
            <w:r w:rsidRPr="0022190E">
              <w:rPr>
                <w:sz w:val="24"/>
                <w:szCs w:val="24"/>
                <w:shd w:val="clear" w:color="auto" w:fill="FFFFFF"/>
              </w:rPr>
              <w:t xml:space="preserve"> În legătură cu acest fapt, la 27 februarie 2020</w:t>
            </w:r>
            <w:r>
              <w:rPr>
                <w:sz w:val="24"/>
                <w:szCs w:val="24"/>
                <w:shd w:val="clear" w:color="auto" w:fill="FFFFFF"/>
              </w:rPr>
              <w:t>,</w:t>
            </w:r>
            <w:r w:rsidRPr="0022190E">
              <w:rPr>
                <w:sz w:val="24"/>
                <w:szCs w:val="24"/>
                <w:shd w:val="clear" w:color="auto" w:fill="FFFFFF"/>
              </w:rPr>
              <w:t xml:space="preserve"> în scopul asigurării asistenţei juridice în acest caz, Ministerul Justiţiei a remis spre examinare şi aprobare în şedinţa Guvernului proiectul definitivat al </w:t>
            </w:r>
            <w:r>
              <w:rPr>
                <w:rFonts w:eastAsiaTheme="minorHAnsi"/>
                <w:sz w:val="24"/>
                <w:szCs w:val="24"/>
              </w:rPr>
              <w:t xml:space="preserve">Hotărîrii </w:t>
            </w:r>
            <w:r w:rsidRPr="0022190E">
              <w:rPr>
                <w:rFonts w:eastAsiaTheme="minorHAnsi"/>
                <w:sz w:val="24"/>
                <w:szCs w:val="24"/>
              </w:rPr>
              <w:t>Guvern</w:t>
            </w:r>
            <w:r>
              <w:rPr>
                <w:rFonts w:eastAsiaTheme="minorHAnsi"/>
                <w:sz w:val="24"/>
                <w:szCs w:val="24"/>
              </w:rPr>
              <w:t>ului</w:t>
            </w:r>
            <w:r w:rsidRPr="0022190E">
              <w:rPr>
                <w:rFonts w:eastAsiaTheme="minorHAnsi"/>
                <w:sz w:val="24"/>
                <w:szCs w:val="24"/>
              </w:rPr>
              <w:t xml:space="preserve"> </w:t>
            </w:r>
            <w:r w:rsidRPr="0022190E">
              <w:rPr>
                <w:rFonts w:eastAsiaTheme="minorHAnsi"/>
                <w:iCs/>
                <w:sz w:val="24"/>
                <w:szCs w:val="24"/>
                <w:shd w:val="clear" w:color="auto" w:fill="FFFFFF"/>
              </w:rPr>
              <w:t>cu privire la încheierea unui contract si alocarea mijloacelor financiare</w:t>
            </w:r>
            <w:r>
              <w:rPr>
                <w:rFonts w:eastAsiaTheme="minorHAnsi"/>
                <w:sz w:val="24"/>
                <w:szCs w:val="24"/>
              </w:rPr>
              <w:t xml:space="preserve"> (număr unic</w:t>
            </w:r>
            <w:r w:rsidRPr="0022190E">
              <w:rPr>
                <w:rFonts w:eastAsiaTheme="minorHAnsi"/>
                <w:sz w:val="24"/>
                <w:szCs w:val="24"/>
              </w:rPr>
              <w:t xml:space="preserve">. 31/MJ/2020), care însă </w:t>
            </w:r>
            <w:r>
              <w:rPr>
                <w:rFonts w:eastAsiaTheme="minorHAnsi"/>
                <w:sz w:val="24"/>
                <w:szCs w:val="24"/>
              </w:rPr>
              <w:t>i-</w:t>
            </w:r>
            <w:r w:rsidRPr="0022190E">
              <w:rPr>
                <w:rFonts w:eastAsiaTheme="minorHAnsi"/>
                <w:sz w:val="24"/>
                <w:szCs w:val="24"/>
              </w:rPr>
              <w:t xml:space="preserve">a fost restituit. </w:t>
            </w:r>
          </w:p>
          <w:p w:rsidR="004F6623" w:rsidRPr="00F913F7" w:rsidRDefault="004F6623" w:rsidP="00DF118A">
            <w:pPr>
              <w:spacing w:after="200"/>
              <w:ind w:firstLine="0"/>
              <w:contextualSpacing/>
              <w:rPr>
                <w:sz w:val="24"/>
                <w:szCs w:val="24"/>
                <w:lang w:val="ro-RO" w:eastAsia="ru-RU"/>
              </w:rPr>
            </w:pPr>
            <w:r w:rsidRPr="0022190E">
              <w:rPr>
                <w:rFonts w:eastAsiaTheme="minorHAnsi"/>
                <w:sz w:val="24"/>
                <w:szCs w:val="24"/>
              </w:rPr>
              <w:t xml:space="preserve">       La 24 martie 2020</w:t>
            </w:r>
            <w:r>
              <w:rPr>
                <w:rFonts w:eastAsiaTheme="minorHAnsi"/>
                <w:sz w:val="24"/>
                <w:szCs w:val="24"/>
              </w:rPr>
              <w:t xml:space="preserve">, </w:t>
            </w:r>
            <w:r w:rsidRPr="0022190E">
              <w:rPr>
                <w:sz w:val="24"/>
                <w:szCs w:val="24"/>
                <w:lang w:val="ro-RO" w:eastAsia="ru-RU"/>
              </w:rPr>
              <w:t xml:space="preserve">prin scrisoarea nr. 09/2965 din 24 martie 2020 Ministerul Justiției a prezentat Guvernului informații detaliate referitor la proiectul </w:t>
            </w:r>
            <w:r>
              <w:rPr>
                <w:sz w:val="24"/>
                <w:szCs w:val="24"/>
                <w:lang w:val="ro-RO" w:eastAsia="ru-RU"/>
              </w:rPr>
              <w:t>respectiv</w:t>
            </w:r>
            <w:r w:rsidRPr="0022190E">
              <w:rPr>
                <w:sz w:val="24"/>
                <w:szCs w:val="24"/>
                <w:lang w:val="ro-RO" w:eastAsia="ru-RU"/>
              </w:rPr>
              <w:t>.</w:t>
            </w:r>
          </w:p>
          <w:p w:rsidR="004F6623" w:rsidRPr="0022190E" w:rsidRDefault="004F6623" w:rsidP="00DF118A">
            <w:pPr>
              <w:tabs>
                <w:tab w:val="left" w:pos="3431"/>
              </w:tabs>
              <w:spacing w:after="200"/>
              <w:ind w:firstLine="0"/>
              <w:contextualSpacing/>
              <w:rPr>
                <w:rFonts w:eastAsiaTheme="minorHAnsi"/>
                <w:b/>
                <w:sz w:val="24"/>
                <w:szCs w:val="24"/>
                <w:lang w:val="ro-RO"/>
              </w:rPr>
            </w:pPr>
            <w:r>
              <w:rPr>
                <w:sz w:val="24"/>
                <w:szCs w:val="24"/>
                <w:shd w:val="clear" w:color="auto" w:fill="FFFFFF"/>
              </w:rPr>
              <w:t xml:space="preserve">       </w:t>
            </w:r>
            <w:r w:rsidRPr="0022190E">
              <w:rPr>
                <w:b/>
                <w:sz w:val="24"/>
                <w:szCs w:val="24"/>
                <w:shd w:val="clear" w:color="auto" w:fill="FFFFFF"/>
              </w:rPr>
              <w:t>La 22 iunie 2021</w:t>
            </w:r>
            <w:r>
              <w:rPr>
                <w:b/>
                <w:sz w:val="24"/>
                <w:szCs w:val="24"/>
                <w:shd w:val="clear" w:color="auto" w:fill="FFFFFF"/>
              </w:rPr>
              <w:t>,</w:t>
            </w:r>
            <w:r w:rsidRPr="0022190E">
              <w:rPr>
                <w:b/>
                <w:sz w:val="24"/>
                <w:szCs w:val="24"/>
                <w:shd w:val="clear" w:color="auto" w:fill="FFFFFF"/>
              </w:rPr>
              <w:t xml:space="preserve"> </w:t>
            </w:r>
            <w:r w:rsidRPr="0022190E">
              <w:rPr>
                <w:b/>
                <w:iCs/>
                <w:sz w:val="24"/>
                <w:szCs w:val="24"/>
                <w:lang w:eastAsia="ru-RU"/>
              </w:rPr>
              <w:t>Curtea de Apel a Statelor Unite pentru al Doilea</w:t>
            </w:r>
            <w:r w:rsidRPr="0022190E">
              <w:rPr>
                <w:b/>
                <w:sz w:val="24"/>
                <w:szCs w:val="24"/>
                <w:lang w:eastAsia="ru-RU"/>
              </w:rPr>
              <w:t xml:space="preserve"> </w:t>
            </w:r>
            <w:r w:rsidRPr="0022190E">
              <w:rPr>
                <w:b/>
                <w:iCs/>
                <w:sz w:val="24"/>
                <w:szCs w:val="24"/>
                <w:lang w:eastAsia="ru-RU"/>
              </w:rPr>
              <w:t>Circuit</w:t>
            </w:r>
            <w:r w:rsidRPr="0022190E">
              <w:rPr>
                <w:b/>
                <w:sz w:val="24"/>
                <w:szCs w:val="24"/>
                <w:lang w:eastAsia="ru-RU"/>
              </w:rPr>
              <w:t xml:space="preserve"> </w:t>
            </w:r>
            <w:r w:rsidRPr="0022190E">
              <w:rPr>
                <w:b/>
                <w:iCs/>
                <w:sz w:val="24"/>
                <w:szCs w:val="24"/>
                <w:lang w:eastAsia="ru-RU"/>
              </w:rPr>
              <w:t>(SUA)</w:t>
            </w:r>
            <w:r w:rsidRPr="0022190E">
              <w:rPr>
                <w:b/>
                <w:sz w:val="24"/>
                <w:szCs w:val="24"/>
                <w:shd w:val="clear" w:color="auto" w:fill="FFFFFF"/>
              </w:rPr>
              <w:t xml:space="preserve"> a admis apelurile depuse de  </w:t>
            </w:r>
            <w:r w:rsidRPr="0022190E">
              <w:rPr>
                <w:b/>
                <w:sz w:val="24"/>
                <w:szCs w:val="24"/>
                <w:lang w:eastAsia="ru-RU"/>
              </w:rPr>
              <w:t xml:space="preserve">SC </w:t>
            </w:r>
            <w:r w:rsidRPr="0022190E">
              <w:rPr>
                <w:b/>
                <w:sz w:val="24"/>
                <w:szCs w:val="24"/>
                <w:lang w:val="ro-RO" w:eastAsia="ru-RU"/>
              </w:rPr>
              <w:t>„</w:t>
            </w:r>
            <w:r w:rsidRPr="0022190E">
              <w:rPr>
                <w:b/>
                <w:sz w:val="24"/>
                <w:szCs w:val="24"/>
                <w:lang w:eastAsia="ru-RU"/>
              </w:rPr>
              <w:t>Moldovagaz” SA</w:t>
            </w:r>
            <w:r w:rsidRPr="0022190E">
              <w:rPr>
                <w:b/>
                <w:sz w:val="24"/>
                <w:szCs w:val="24"/>
                <w:shd w:val="clear" w:color="auto" w:fill="FFFFFF"/>
              </w:rPr>
              <w:t xml:space="preserve"> și Republica Moldova</w:t>
            </w:r>
            <w:r w:rsidRPr="0022190E">
              <w:rPr>
                <w:rFonts w:eastAsiaTheme="minorHAnsi"/>
                <w:b/>
                <w:sz w:val="24"/>
                <w:szCs w:val="24"/>
                <w:lang w:val="ro-RO"/>
              </w:rPr>
              <w:t xml:space="preserve"> şi a casat decizia instanței federale de district de acceptare a procedurii de reînnoire (acţiunea a fost respinsă). </w:t>
            </w:r>
          </w:p>
          <w:p w:rsidR="004F6623" w:rsidRDefault="004F6623" w:rsidP="00DF118A">
            <w:pPr>
              <w:tabs>
                <w:tab w:val="left" w:pos="3431"/>
              </w:tabs>
              <w:spacing w:after="200"/>
              <w:ind w:firstLine="0"/>
              <w:contextualSpacing/>
              <w:rPr>
                <w:iCs/>
                <w:sz w:val="24"/>
                <w:szCs w:val="24"/>
                <w:lang w:eastAsia="ru-RU"/>
              </w:rPr>
            </w:pPr>
            <w:r>
              <w:rPr>
                <w:sz w:val="24"/>
                <w:szCs w:val="24"/>
                <w:lang w:eastAsia="ru-RU"/>
              </w:rPr>
              <w:t xml:space="preserve">       </w:t>
            </w:r>
            <w:r w:rsidRPr="0022190E">
              <w:rPr>
                <w:sz w:val="24"/>
                <w:szCs w:val="24"/>
                <w:lang w:eastAsia="ru-RU"/>
              </w:rPr>
              <w:t>Prin urmare, prin notele de plată (invoice) din 30 ianuarie 2020, 3 aprilie 2020, 12 mai 2020,  11 iunie 2020, 14 mai 2021 şi 19 august 2021</w:t>
            </w:r>
            <w:r>
              <w:rPr>
                <w:sz w:val="24"/>
                <w:szCs w:val="24"/>
                <w:lang w:eastAsia="ru-RU"/>
              </w:rPr>
              <w:t>,</w:t>
            </w:r>
            <w:r w:rsidRPr="0022190E">
              <w:rPr>
                <w:sz w:val="24"/>
                <w:szCs w:val="24"/>
                <w:lang w:eastAsia="ru-RU"/>
              </w:rPr>
              <w:t xml:space="preserve">  </w:t>
            </w:r>
            <w:r w:rsidRPr="0022190E">
              <w:rPr>
                <w:sz w:val="24"/>
                <w:szCs w:val="24"/>
              </w:rPr>
              <w:t xml:space="preserve">compania </w:t>
            </w:r>
            <w:r w:rsidRPr="0022190E">
              <w:rPr>
                <w:rFonts w:eastAsiaTheme="minorHAnsi"/>
                <w:color w:val="000000"/>
                <w:sz w:val="24"/>
                <w:szCs w:val="24"/>
              </w:rPr>
              <w:t xml:space="preserve">de avocatură </w:t>
            </w:r>
            <w:r w:rsidRPr="0022190E">
              <w:rPr>
                <w:rFonts w:eastAsiaTheme="minorHAnsi"/>
                <w:color w:val="000000"/>
                <w:sz w:val="24"/>
                <w:szCs w:val="24"/>
                <w:lang w:val="ro-RO"/>
              </w:rPr>
              <w:t>„</w:t>
            </w:r>
            <w:r w:rsidRPr="0022190E">
              <w:rPr>
                <w:sz w:val="24"/>
                <w:szCs w:val="24"/>
              </w:rPr>
              <w:t>Steptoe &amp; Johnson” LLP a solicitat onorariul</w:t>
            </w:r>
            <w:r w:rsidRPr="0022190E">
              <w:rPr>
                <w:b/>
                <w:sz w:val="24"/>
                <w:szCs w:val="24"/>
              </w:rPr>
              <w:t xml:space="preserve"> </w:t>
            </w:r>
            <w:r w:rsidRPr="0022190E">
              <w:rPr>
                <w:sz w:val="24"/>
                <w:szCs w:val="24"/>
              </w:rPr>
              <w:t>pentru</w:t>
            </w:r>
            <w:r w:rsidRPr="0022190E">
              <w:rPr>
                <w:b/>
                <w:sz w:val="24"/>
                <w:szCs w:val="24"/>
              </w:rPr>
              <w:t xml:space="preserve"> </w:t>
            </w:r>
            <w:r w:rsidRPr="0022190E">
              <w:rPr>
                <w:sz w:val="24"/>
                <w:szCs w:val="24"/>
              </w:rPr>
              <w:t xml:space="preserve">serviciile juridice prestate în legătură cu </w:t>
            </w:r>
            <w:r w:rsidRPr="0022190E">
              <w:rPr>
                <w:sz w:val="24"/>
                <w:szCs w:val="24"/>
                <w:lang w:eastAsia="ru-RU"/>
              </w:rPr>
              <w:t xml:space="preserve">reprezentarea intereselor statului </w:t>
            </w:r>
            <w:r w:rsidRPr="0022190E">
              <w:rPr>
                <w:bCs/>
                <w:sz w:val="24"/>
                <w:szCs w:val="24"/>
                <w:lang w:eastAsia="ru-RU"/>
              </w:rPr>
              <w:t>în ordine de apel în acţiunea înaintată de</w:t>
            </w:r>
            <w:r w:rsidRPr="0022190E">
              <w:rPr>
                <w:b/>
                <w:bCs/>
                <w:sz w:val="24"/>
                <w:szCs w:val="24"/>
                <w:lang w:eastAsia="ru-RU"/>
              </w:rPr>
              <w:t xml:space="preserve"> </w:t>
            </w:r>
            <w:r w:rsidRPr="0022190E">
              <w:rPr>
                <w:sz w:val="24"/>
                <w:szCs w:val="24"/>
                <w:lang w:eastAsia="ru-RU"/>
              </w:rPr>
              <w:t xml:space="preserve">Gater Assets Limited </w:t>
            </w:r>
            <w:r w:rsidRPr="0022190E">
              <w:rPr>
                <w:iCs/>
                <w:sz w:val="24"/>
                <w:szCs w:val="24"/>
                <w:lang w:eastAsia="ru-RU"/>
              </w:rPr>
              <w:t>împotriva Republicii Moldova,</w:t>
            </w:r>
            <w:r w:rsidRPr="0022190E">
              <w:rPr>
                <w:sz w:val="24"/>
                <w:szCs w:val="24"/>
                <w:lang w:eastAsia="ru-RU"/>
              </w:rPr>
              <w:t xml:space="preserve"> alături de S</w:t>
            </w:r>
            <w:r w:rsidRPr="0022190E">
              <w:rPr>
                <w:sz w:val="24"/>
                <w:szCs w:val="24"/>
                <w:lang w:val="ru-RU" w:eastAsia="ru-RU"/>
              </w:rPr>
              <w:t>С</w:t>
            </w:r>
            <w:r w:rsidRPr="0022190E">
              <w:rPr>
                <w:sz w:val="24"/>
                <w:szCs w:val="24"/>
                <w:lang w:eastAsia="ru-RU"/>
              </w:rPr>
              <w:t xml:space="preserve"> </w:t>
            </w:r>
            <w:r w:rsidRPr="0022190E">
              <w:rPr>
                <w:sz w:val="24"/>
                <w:szCs w:val="24"/>
                <w:lang w:val="ro-RO" w:eastAsia="ru-RU"/>
              </w:rPr>
              <w:t>„</w:t>
            </w:r>
            <w:r w:rsidRPr="0022190E">
              <w:rPr>
                <w:sz w:val="24"/>
                <w:szCs w:val="24"/>
                <w:lang w:eastAsia="ru-RU"/>
              </w:rPr>
              <w:t xml:space="preserve">Gazsnabtranzit” SA şi SC </w:t>
            </w:r>
            <w:r w:rsidRPr="0022190E">
              <w:rPr>
                <w:sz w:val="24"/>
                <w:szCs w:val="24"/>
                <w:lang w:val="ro-RO" w:eastAsia="ru-RU"/>
              </w:rPr>
              <w:t>„</w:t>
            </w:r>
            <w:r w:rsidRPr="0022190E">
              <w:rPr>
                <w:sz w:val="24"/>
                <w:szCs w:val="24"/>
                <w:lang w:eastAsia="ru-RU"/>
              </w:rPr>
              <w:t>Moldovagaz” SA</w:t>
            </w:r>
            <w:r w:rsidRPr="0022190E">
              <w:rPr>
                <w:i/>
                <w:iCs/>
                <w:sz w:val="24"/>
                <w:szCs w:val="24"/>
                <w:lang w:eastAsia="ru-RU"/>
              </w:rPr>
              <w:t xml:space="preserve">, </w:t>
            </w:r>
            <w:r w:rsidRPr="0022190E">
              <w:rPr>
                <w:iCs/>
                <w:sz w:val="24"/>
                <w:szCs w:val="24"/>
                <w:lang w:eastAsia="ru-RU"/>
              </w:rPr>
              <w:t>la Curtea de Apel a Statelor Unite pentru al Doilea</w:t>
            </w:r>
            <w:r w:rsidRPr="0022190E">
              <w:rPr>
                <w:sz w:val="24"/>
                <w:szCs w:val="24"/>
                <w:lang w:eastAsia="ru-RU"/>
              </w:rPr>
              <w:t xml:space="preserve"> </w:t>
            </w:r>
            <w:r w:rsidRPr="0022190E">
              <w:rPr>
                <w:iCs/>
                <w:sz w:val="24"/>
                <w:szCs w:val="24"/>
                <w:lang w:eastAsia="ru-RU"/>
              </w:rPr>
              <w:t>Circuit</w:t>
            </w:r>
            <w:r w:rsidRPr="0022190E">
              <w:rPr>
                <w:sz w:val="24"/>
                <w:szCs w:val="24"/>
                <w:lang w:eastAsia="ru-RU"/>
              </w:rPr>
              <w:t xml:space="preserve"> </w:t>
            </w:r>
            <w:r w:rsidRPr="0022190E">
              <w:rPr>
                <w:iCs/>
                <w:sz w:val="24"/>
                <w:szCs w:val="24"/>
                <w:lang w:eastAsia="ru-RU"/>
              </w:rPr>
              <w:t>(SUA).</w:t>
            </w:r>
          </w:p>
          <w:p w:rsidR="004F6623" w:rsidRDefault="004F6623" w:rsidP="00DF118A">
            <w:pPr>
              <w:spacing w:after="200"/>
              <w:ind w:firstLine="0"/>
              <w:contextualSpacing/>
              <w:rPr>
                <w:sz w:val="24"/>
                <w:szCs w:val="24"/>
                <w:lang w:val="ro-RO" w:eastAsia="ru-RU"/>
              </w:rPr>
            </w:pPr>
            <w:r>
              <w:rPr>
                <w:iCs/>
                <w:sz w:val="24"/>
                <w:szCs w:val="24"/>
                <w:lang w:eastAsia="ru-RU"/>
              </w:rPr>
              <w:t xml:space="preserve">       </w:t>
            </w:r>
            <w:r>
              <w:rPr>
                <w:sz w:val="24"/>
                <w:szCs w:val="24"/>
                <w:lang w:val="ro-RO" w:eastAsia="ru-RU"/>
              </w:rPr>
              <w:t>P</w:t>
            </w:r>
            <w:r w:rsidRPr="0022190E">
              <w:rPr>
                <w:sz w:val="24"/>
                <w:szCs w:val="24"/>
                <w:lang w:val="ro-RO" w:eastAsia="ru-RU"/>
              </w:rPr>
              <w:t>rin</w:t>
            </w:r>
            <w:r>
              <w:rPr>
                <w:sz w:val="24"/>
                <w:szCs w:val="24"/>
                <w:lang w:val="ro-RO" w:eastAsia="ru-RU"/>
              </w:rPr>
              <w:t xml:space="preserve"> scrisoarea nr. 09/10528</w:t>
            </w:r>
            <w:r w:rsidRPr="0022190E">
              <w:rPr>
                <w:sz w:val="24"/>
                <w:szCs w:val="24"/>
                <w:lang w:val="ro-RO" w:eastAsia="ru-RU"/>
              </w:rPr>
              <w:t xml:space="preserve"> </w:t>
            </w:r>
            <w:r>
              <w:rPr>
                <w:sz w:val="24"/>
                <w:szCs w:val="24"/>
                <w:lang w:val="ro-RO" w:eastAsia="ru-RU"/>
              </w:rPr>
              <w:t xml:space="preserve">din 24 decembrie 2021, </w:t>
            </w:r>
            <w:r w:rsidRPr="0022190E">
              <w:rPr>
                <w:sz w:val="24"/>
                <w:szCs w:val="24"/>
                <w:lang w:val="ro-RO" w:eastAsia="ru-RU"/>
              </w:rPr>
              <w:t xml:space="preserve">Ministerul Justiției a prezentat Guvernului </w:t>
            </w:r>
            <w:r>
              <w:rPr>
                <w:sz w:val="24"/>
                <w:szCs w:val="24"/>
                <w:lang w:val="ro-RO" w:eastAsia="ru-RU"/>
              </w:rPr>
              <w:t xml:space="preserve">spre examinare şi aprobare proiectul Hotărîrii Guvernului cu privire la încheierea unui contract şi alocarea mijloacelor financiare (număr unic 31/MJ/2020). La 14 ianuarie 2022 proiectul precitat a fost restituit Ministerului Justiţiei pentru discuţii suplimentare cu Ministerul Finanţelor.   </w:t>
            </w:r>
          </w:p>
          <w:p w:rsidR="00886B46" w:rsidRPr="00B06D18" w:rsidRDefault="00B80570" w:rsidP="00DF118A">
            <w:pPr>
              <w:spacing w:after="200"/>
              <w:ind w:firstLine="0"/>
              <w:contextualSpacing/>
              <w:rPr>
                <w:iCs/>
                <w:sz w:val="24"/>
                <w:szCs w:val="24"/>
              </w:rPr>
            </w:pPr>
            <w:r>
              <w:rPr>
                <w:sz w:val="24"/>
                <w:szCs w:val="24"/>
                <w:lang w:val="ro-RO" w:eastAsia="ru-RU"/>
              </w:rPr>
              <w:t xml:space="preserve">       </w:t>
            </w:r>
            <w:r w:rsidR="00E4718F" w:rsidRPr="00B06D18">
              <w:rPr>
                <w:sz w:val="24"/>
                <w:szCs w:val="24"/>
                <w:lang w:val="ro-RO"/>
              </w:rPr>
              <w:t>Prin scrisoarea nr. 09/792 din 27 ianuarie 2022, Ministerul Justiției a solicitat alocarea mijloacelor financiare suplimentare în bugetul aprobat Ministerului Infrastructurii şi Dezvoltării Regionale pentru anul 2022</w:t>
            </w:r>
            <w:r w:rsidR="007F6502" w:rsidRPr="00B06D18">
              <w:rPr>
                <w:sz w:val="24"/>
                <w:szCs w:val="24"/>
                <w:lang w:val="ro-RO"/>
              </w:rPr>
              <w:t xml:space="preserve">, </w:t>
            </w:r>
            <w:r w:rsidR="0002653E" w:rsidRPr="00B06D18">
              <w:rPr>
                <w:sz w:val="24"/>
                <w:szCs w:val="24"/>
                <w:lang w:val="ro-RO"/>
              </w:rPr>
              <w:t xml:space="preserve">suma solicitată </w:t>
            </w:r>
            <w:r w:rsidR="007F6502" w:rsidRPr="00B06D18">
              <w:rPr>
                <w:sz w:val="24"/>
                <w:szCs w:val="24"/>
                <w:lang w:val="ro-RO"/>
              </w:rPr>
              <w:t>fiind</w:t>
            </w:r>
            <w:r w:rsidR="0002653E" w:rsidRPr="00B06D18">
              <w:rPr>
                <w:sz w:val="24"/>
                <w:szCs w:val="24"/>
                <w:lang w:val="ro-RO"/>
              </w:rPr>
              <w:t xml:space="preserve"> </w:t>
            </w:r>
            <w:r w:rsidR="00E4718F" w:rsidRPr="00B06D18">
              <w:rPr>
                <w:sz w:val="24"/>
                <w:szCs w:val="24"/>
              </w:rPr>
              <w:t xml:space="preserve">echivalentul în lei </w:t>
            </w:r>
            <w:r w:rsidR="00E4718F" w:rsidRPr="00B06D18">
              <w:rPr>
                <w:sz w:val="24"/>
                <w:szCs w:val="24"/>
                <w:lang w:val="ro-RO"/>
              </w:rPr>
              <w:t>a</w:t>
            </w:r>
            <w:r w:rsidR="00E4718F" w:rsidRPr="00B06D18">
              <w:rPr>
                <w:sz w:val="24"/>
                <w:szCs w:val="24"/>
              </w:rPr>
              <w:t xml:space="preserve"> </w:t>
            </w:r>
            <w:r w:rsidR="00E4718F" w:rsidRPr="00B06D18">
              <w:rPr>
                <w:sz w:val="24"/>
                <w:szCs w:val="24"/>
                <w:lang w:val="ro-RO"/>
              </w:rPr>
              <w:t>171 500,00 dolari SUA</w:t>
            </w:r>
            <w:r w:rsidR="00E4718F" w:rsidRPr="00B06D18">
              <w:rPr>
                <w:sz w:val="24"/>
                <w:szCs w:val="24"/>
              </w:rPr>
              <w:t xml:space="preserve"> pentru plata onorariilor</w:t>
            </w:r>
            <w:r w:rsidR="00E4718F" w:rsidRPr="00B06D18">
              <w:rPr>
                <w:sz w:val="24"/>
                <w:szCs w:val="24"/>
                <w:lang w:val="ro-RO"/>
              </w:rPr>
              <w:t xml:space="preserve"> companiei de avocatură „Steptoe </w:t>
            </w:r>
            <w:r w:rsidR="00E4718F" w:rsidRPr="00B06D18">
              <w:rPr>
                <w:sz w:val="24"/>
                <w:szCs w:val="24"/>
              </w:rPr>
              <w:t xml:space="preserve">&amp; Johnson” LLP (Washington, SUA) </w:t>
            </w:r>
            <w:r w:rsidR="00E4718F" w:rsidRPr="00B06D18">
              <w:rPr>
                <w:sz w:val="24"/>
                <w:szCs w:val="24"/>
                <w:lang w:val="ro-RO"/>
              </w:rPr>
              <w:t>în parteneriat cu</w:t>
            </w:r>
            <w:r w:rsidR="00E4718F" w:rsidRPr="00B06D18">
              <w:rPr>
                <w:sz w:val="24"/>
                <w:szCs w:val="24"/>
                <w:lang w:val="it-IT"/>
              </w:rPr>
              <w:t xml:space="preserve"> Biroul asociat de avocaţi </w:t>
            </w:r>
            <w:r w:rsidR="00E4718F" w:rsidRPr="00B06D18">
              <w:rPr>
                <w:sz w:val="24"/>
                <w:szCs w:val="24"/>
                <w:lang w:val="ro-RO"/>
              </w:rPr>
              <w:t>„</w:t>
            </w:r>
            <w:r w:rsidR="00E4718F" w:rsidRPr="00B06D18">
              <w:rPr>
                <w:sz w:val="24"/>
                <w:szCs w:val="24"/>
                <w:lang w:val="it-IT"/>
              </w:rPr>
              <w:t>Tănase &amp; Partenerii” (Republica Moldova)</w:t>
            </w:r>
            <w:r w:rsidR="00E4718F" w:rsidRPr="00B06D18">
              <w:rPr>
                <w:sz w:val="24"/>
                <w:szCs w:val="24"/>
              </w:rPr>
              <w:t xml:space="preserve"> pentru reprezentarea intereselor Republicii Moldova</w:t>
            </w:r>
            <w:r w:rsidR="00E4718F" w:rsidRPr="00B06D18">
              <w:rPr>
                <w:iCs/>
                <w:sz w:val="24"/>
                <w:szCs w:val="24"/>
              </w:rPr>
              <w:t xml:space="preserve"> în faţa Curţii de Apel a Statelor Unite pentru al Doilea Circuit (SUA). </w:t>
            </w:r>
          </w:p>
          <w:p w:rsidR="0002653E" w:rsidRPr="00FB1DE4" w:rsidRDefault="0002653E" w:rsidP="00DF118A">
            <w:pPr>
              <w:spacing w:after="200"/>
              <w:ind w:firstLine="0"/>
              <w:contextualSpacing/>
              <w:rPr>
                <w:iCs/>
                <w:sz w:val="24"/>
                <w:szCs w:val="24"/>
              </w:rPr>
            </w:pPr>
            <w:r w:rsidRPr="00B06D18">
              <w:rPr>
                <w:sz w:val="24"/>
                <w:szCs w:val="24"/>
                <w:lang w:val="ro-RO" w:eastAsia="ru-RU"/>
              </w:rPr>
              <w:t xml:space="preserve">       De asemenea, în legătură cu scrisoarea nr. 06/1-17/7 din 18 februarie 2022 a Ministerului Finanţelor despre iniţierea procedurii de modificare a Legii bugetului de stat pentru anul 2022 nr. </w:t>
            </w:r>
            <w:r w:rsidR="007F6502" w:rsidRPr="00B06D18">
              <w:rPr>
                <w:sz w:val="24"/>
                <w:szCs w:val="24"/>
                <w:lang w:val="ro-RO" w:eastAsia="ru-RU"/>
              </w:rPr>
              <w:t xml:space="preserve">205/2021, </w:t>
            </w:r>
            <w:r w:rsidR="007F6502" w:rsidRPr="00B06D18">
              <w:rPr>
                <w:sz w:val="24"/>
                <w:szCs w:val="24"/>
                <w:lang w:val="ro-RO"/>
              </w:rPr>
              <w:t>Ministerul</w:t>
            </w:r>
            <w:r w:rsidRPr="00B06D18">
              <w:rPr>
                <w:sz w:val="24"/>
                <w:szCs w:val="24"/>
                <w:lang w:val="ro-RO"/>
              </w:rPr>
              <w:t xml:space="preserve"> Infrastructurii şi Dezvoltării Regionale </w:t>
            </w:r>
            <w:r w:rsidR="007F6502" w:rsidRPr="00B06D18">
              <w:rPr>
                <w:sz w:val="24"/>
                <w:szCs w:val="24"/>
                <w:lang w:val="ro-RO"/>
              </w:rPr>
              <w:t xml:space="preserve">a fost informat </w:t>
            </w:r>
            <w:r w:rsidRPr="00B06D18">
              <w:rPr>
                <w:sz w:val="24"/>
                <w:szCs w:val="24"/>
                <w:lang w:val="ro-RO"/>
              </w:rPr>
              <w:t xml:space="preserve">despre necesitatea solicitării alocării mijloacelor financiare suplimentare în bugetul aprobat </w:t>
            </w:r>
            <w:r w:rsidR="00FB1DE4" w:rsidRPr="00B06D18">
              <w:rPr>
                <w:sz w:val="24"/>
                <w:szCs w:val="24"/>
                <w:lang w:val="ro-RO"/>
              </w:rPr>
              <w:t xml:space="preserve">pentru anul 2022 în suma  </w:t>
            </w:r>
            <w:r w:rsidR="00FB1DE4" w:rsidRPr="00B06D18">
              <w:rPr>
                <w:sz w:val="24"/>
                <w:szCs w:val="24"/>
              </w:rPr>
              <w:t xml:space="preserve">echivalentă în lei </w:t>
            </w:r>
            <w:r w:rsidR="00FB1DE4" w:rsidRPr="00B06D18">
              <w:rPr>
                <w:sz w:val="24"/>
                <w:szCs w:val="24"/>
                <w:lang w:val="ro-RO"/>
              </w:rPr>
              <w:t>a</w:t>
            </w:r>
            <w:r w:rsidR="00FB1DE4" w:rsidRPr="00B06D18">
              <w:rPr>
                <w:sz w:val="24"/>
                <w:szCs w:val="24"/>
              </w:rPr>
              <w:t xml:space="preserve"> </w:t>
            </w:r>
            <w:r w:rsidR="00FB1DE4" w:rsidRPr="00B06D18">
              <w:rPr>
                <w:sz w:val="24"/>
                <w:szCs w:val="24"/>
                <w:lang w:val="ro-RO"/>
              </w:rPr>
              <w:t>171 500,00 dolari SUA</w:t>
            </w:r>
            <w:r w:rsidR="00FB1DE4" w:rsidRPr="00B06D18">
              <w:rPr>
                <w:sz w:val="24"/>
                <w:szCs w:val="24"/>
              </w:rPr>
              <w:t xml:space="preserve"> pentru plata onorariilor</w:t>
            </w:r>
            <w:r w:rsidR="00FB1DE4" w:rsidRPr="00B06D18">
              <w:rPr>
                <w:sz w:val="24"/>
                <w:szCs w:val="24"/>
                <w:lang w:val="ro-RO"/>
              </w:rPr>
              <w:t xml:space="preserve"> companiei de avocatură „Steptoe </w:t>
            </w:r>
            <w:r w:rsidR="00FB1DE4" w:rsidRPr="00B06D18">
              <w:rPr>
                <w:sz w:val="24"/>
                <w:szCs w:val="24"/>
              </w:rPr>
              <w:t xml:space="preserve">&amp; Johnson” LLP (Washington, SUA) </w:t>
            </w:r>
            <w:r w:rsidR="00FB1DE4" w:rsidRPr="00B06D18">
              <w:rPr>
                <w:sz w:val="24"/>
                <w:szCs w:val="24"/>
                <w:lang w:val="ro-RO"/>
              </w:rPr>
              <w:t>în parteneriat cu</w:t>
            </w:r>
            <w:r w:rsidR="00FB1DE4" w:rsidRPr="00B06D18">
              <w:rPr>
                <w:sz w:val="24"/>
                <w:szCs w:val="24"/>
                <w:lang w:val="it-IT"/>
              </w:rPr>
              <w:t xml:space="preserve"> Biroul asociat de avocaţi </w:t>
            </w:r>
            <w:r w:rsidR="00FB1DE4" w:rsidRPr="00B06D18">
              <w:rPr>
                <w:sz w:val="24"/>
                <w:szCs w:val="24"/>
                <w:lang w:val="ro-RO"/>
              </w:rPr>
              <w:t>„</w:t>
            </w:r>
            <w:r w:rsidR="00FB1DE4" w:rsidRPr="00B06D18">
              <w:rPr>
                <w:sz w:val="24"/>
                <w:szCs w:val="24"/>
                <w:lang w:val="it-IT"/>
              </w:rPr>
              <w:t>Tănase &amp; Partenerii” (Republica Moldova)</w:t>
            </w:r>
            <w:r w:rsidR="00FB1DE4" w:rsidRPr="00B06D18">
              <w:rPr>
                <w:sz w:val="24"/>
                <w:szCs w:val="24"/>
              </w:rPr>
              <w:t xml:space="preserve"> pentru reprezentarea intereselor Republicii Moldova</w:t>
            </w:r>
            <w:r w:rsidR="00FB1DE4" w:rsidRPr="00B06D18">
              <w:rPr>
                <w:iCs/>
                <w:sz w:val="24"/>
                <w:szCs w:val="24"/>
              </w:rPr>
              <w:t xml:space="preserve"> în faţa </w:t>
            </w:r>
            <w:r w:rsidR="00FB1DE4" w:rsidRPr="00B06D18">
              <w:rPr>
                <w:iCs/>
                <w:sz w:val="24"/>
                <w:szCs w:val="24"/>
              </w:rPr>
              <w:lastRenderedPageBreak/>
              <w:t>Curţii de Apel a Statelor Unite pentru al Doilea Circuit (SUA).</w:t>
            </w:r>
            <w:r w:rsidR="00FB1DE4" w:rsidRPr="00E4718F">
              <w:rPr>
                <w:iCs/>
                <w:sz w:val="24"/>
                <w:szCs w:val="24"/>
              </w:rPr>
              <w:t xml:space="preserve"> </w:t>
            </w:r>
          </w:p>
          <w:p w:rsidR="004F6623" w:rsidRPr="0022190E" w:rsidRDefault="004F6623" w:rsidP="00DF118A">
            <w:pPr>
              <w:tabs>
                <w:tab w:val="left" w:pos="360"/>
              </w:tabs>
              <w:ind w:firstLine="0"/>
              <w:contextualSpacing/>
              <w:rPr>
                <w:rFonts w:eastAsiaTheme="minorHAnsi"/>
                <w:color w:val="000000"/>
                <w:sz w:val="24"/>
                <w:szCs w:val="24"/>
                <w:lang w:val="ro-RO"/>
              </w:rPr>
            </w:pPr>
            <w:r>
              <w:rPr>
                <w:sz w:val="24"/>
                <w:szCs w:val="24"/>
                <w:lang w:eastAsia="ru-RU"/>
              </w:rPr>
              <w:t xml:space="preserve">      </w:t>
            </w:r>
            <w:r w:rsidRPr="0022190E">
              <w:rPr>
                <w:sz w:val="24"/>
                <w:szCs w:val="24"/>
                <w:lang w:eastAsia="ru-RU"/>
              </w:rPr>
              <w:t xml:space="preserve"> </w:t>
            </w:r>
            <w:r w:rsidRPr="0022190E">
              <w:rPr>
                <w:rFonts w:eastAsiaTheme="minorHAnsi"/>
                <w:color w:val="000000"/>
                <w:sz w:val="24"/>
                <w:szCs w:val="24"/>
                <w:lang w:val="ro-RO"/>
              </w:rPr>
              <w:t xml:space="preserve">Potrivit pct. 62 din Regulamentul aprobat prin </w:t>
            </w:r>
            <w:r w:rsidRPr="0022190E">
              <w:rPr>
                <w:sz w:val="24"/>
                <w:szCs w:val="24"/>
                <w:lang w:val="ro-RO" w:eastAsia="ru-RU"/>
              </w:rPr>
              <w:t>H</w:t>
            </w:r>
            <w:r>
              <w:rPr>
                <w:sz w:val="24"/>
                <w:szCs w:val="24"/>
                <w:lang w:val="ro-RO" w:eastAsia="ru-RU"/>
              </w:rPr>
              <w:t xml:space="preserve">otărîrea </w:t>
            </w:r>
            <w:r w:rsidRPr="0022190E">
              <w:rPr>
                <w:sz w:val="24"/>
                <w:szCs w:val="24"/>
                <w:lang w:val="ro-RO" w:eastAsia="ru-RU"/>
              </w:rPr>
              <w:t>G</w:t>
            </w:r>
            <w:r>
              <w:rPr>
                <w:sz w:val="24"/>
                <w:szCs w:val="24"/>
                <w:lang w:val="ro-RO" w:eastAsia="ru-RU"/>
              </w:rPr>
              <w:t>uvernului</w:t>
            </w:r>
            <w:r w:rsidRPr="0022190E">
              <w:rPr>
                <w:sz w:val="24"/>
                <w:szCs w:val="24"/>
                <w:lang w:val="ro-RO" w:eastAsia="ru-RU"/>
              </w:rPr>
              <w:t xml:space="preserve"> nr. 764/2012</w:t>
            </w:r>
            <w:r w:rsidRPr="0022190E">
              <w:rPr>
                <w:sz w:val="24"/>
                <w:szCs w:val="24"/>
                <w:lang w:eastAsia="ru-RU"/>
              </w:rPr>
              <w:t xml:space="preserve">, </w:t>
            </w:r>
            <w:r w:rsidRPr="0022190E">
              <w:rPr>
                <w:rFonts w:eastAsiaTheme="minorHAnsi"/>
                <w:color w:val="000000"/>
                <w:sz w:val="24"/>
                <w:szCs w:val="24"/>
                <w:lang w:val="ro-RO"/>
              </w:rPr>
              <w:t>încheierea contractului de asistenţă jurid</w:t>
            </w:r>
            <w:r>
              <w:rPr>
                <w:rFonts w:eastAsiaTheme="minorHAnsi"/>
                <w:color w:val="000000"/>
                <w:sz w:val="24"/>
                <w:szCs w:val="24"/>
                <w:lang w:val="ro-RO"/>
              </w:rPr>
              <w:t>ică cu cîştigătorul concursului</w:t>
            </w:r>
            <w:r w:rsidRPr="0022190E">
              <w:rPr>
                <w:rFonts w:eastAsiaTheme="minorHAnsi"/>
                <w:color w:val="000000"/>
                <w:sz w:val="24"/>
                <w:szCs w:val="24"/>
                <w:lang w:val="ro-RO"/>
              </w:rPr>
              <w:t xml:space="preserve"> </w:t>
            </w:r>
            <w:r w:rsidRPr="0022190E">
              <w:rPr>
                <w:rFonts w:eastAsiaTheme="minorHAnsi"/>
                <w:b/>
                <w:color w:val="000000"/>
                <w:sz w:val="24"/>
                <w:szCs w:val="24"/>
                <w:lang w:val="ro-RO"/>
              </w:rPr>
              <w:t>îi revine conducătorului autorităţii publice parte în litigiu</w:t>
            </w:r>
            <w:r w:rsidRPr="0022190E">
              <w:rPr>
                <w:rFonts w:eastAsiaTheme="minorHAnsi"/>
                <w:color w:val="000000"/>
                <w:sz w:val="24"/>
                <w:szCs w:val="24"/>
                <w:lang w:val="ro-RO"/>
              </w:rPr>
              <w:t>. În procedurile contencioase prevăzute la pct. 15 literele d) şi e) din Regulamentul menţionat (litigiile examinate în instanţele judecătoreşti străine şi în instituţiile de arbitraj internaţionale), în calitate de pîrît figurează, de regulă, statul Republica Moldova sau Guvernul Republicii Moldova. Astfel, în sensul pct. 62 din Regulamentul precitat prin expresia „autoritate publică, parte în litigiu” trebuie înţeles acel minister sau autoritate publică din subordinea Guvernului/ministerului de domeniul de competenţă al căruia/careia ţine fondul litigiului sau litigiul de bază.</w:t>
            </w:r>
          </w:p>
          <w:p w:rsidR="004F6623" w:rsidRPr="0022190E" w:rsidRDefault="004F6623" w:rsidP="00DF118A">
            <w:pPr>
              <w:tabs>
                <w:tab w:val="right" w:pos="9921"/>
              </w:tabs>
              <w:ind w:firstLine="0"/>
              <w:rPr>
                <w:color w:val="000000"/>
                <w:sz w:val="24"/>
                <w:szCs w:val="24"/>
                <w:lang w:val="ro-RO" w:eastAsia="ru-RU"/>
              </w:rPr>
            </w:pPr>
            <w:r w:rsidRPr="0022190E">
              <w:rPr>
                <w:sz w:val="24"/>
                <w:szCs w:val="24"/>
                <w:lang w:val="ro-RO" w:eastAsia="ru-RU"/>
              </w:rPr>
              <w:t xml:space="preserve">        </w:t>
            </w:r>
            <w:r w:rsidRPr="0022190E">
              <w:rPr>
                <w:color w:val="000000"/>
                <w:sz w:val="24"/>
                <w:szCs w:val="24"/>
                <w:lang w:val="ro-RO"/>
              </w:rPr>
              <w:t>Ast</w:t>
            </w:r>
            <w:r>
              <w:rPr>
                <w:color w:val="000000"/>
                <w:sz w:val="24"/>
                <w:szCs w:val="24"/>
                <w:lang w:val="ro-RO"/>
              </w:rPr>
              <w:t>fel, parte în litigiul din speţa semnalată</w:t>
            </w:r>
            <w:r w:rsidRPr="0022190E">
              <w:rPr>
                <w:color w:val="000000"/>
                <w:sz w:val="24"/>
                <w:szCs w:val="24"/>
                <w:lang w:val="ro-RO"/>
              </w:rPr>
              <w:t xml:space="preserve"> în persoana Guvernului este Ministerul Infrastructurii şi Dezvoltării Regionale, pornind de la faptul că acesta</w:t>
            </w:r>
            <w:r w:rsidRPr="0022190E">
              <w:rPr>
                <w:rFonts w:eastAsiaTheme="minorHAnsi"/>
                <w:sz w:val="24"/>
                <w:szCs w:val="24"/>
              </w:rPr>
              <w:t xml:space="preserve"> </w:t>
            </w:r>
            <w:r w:rsidRPr="0022190E">
              <w:rPr>
                <w:color w:val="000000"/>
                <w:sz w:val="24"/>
                <w:szCs w:val="24"/>
                <w:lang w:val="ro-RO" w:eastAsia="ru-RU"/>
              </w:rPr>
              <w:t>administrează domeniul energetic vizat în litigiu. În acest context, se va nota că anterior Ministerul Economiei şi Infrastructurii a semnat contractul de asistenţă juridică pentru reprezentarea intereselor statului în instanţa de fond.</w:t>
            </w:r>
          </w:p>
          <w:p w:rsidR="004F6623" w:rsidRPr="00FB1DE4" w:rsidRDefault="004F6623" w:rsidP="00FB1DE4">
            <w:pPr>
              <w:tabs>
                <w:tab w:val="left" w:pos="3431"/>
              </w:tabs>
              <w:spacing w:after="200"/>
              <w:ind w:firstLine="0"/>
              <w:contextualSpacing/>
              <w:rPr>
                <w:sz w:val="24"/>
                <w:szCs w:val="24"/>
                <w:lang w:val="ro-RO" w:eastAsia="ru-RU"/>
              </w:rPr>
            </w:pPr>
            <w:r w:rsidRPr="0022190E">
              <w:rPr>
                <w:sz w:val="24"/>
                <w:szCs w:val="24"/>
                <w:lang w:val="ro-RO" w:eastAsia="ru-RU"/>
              </w:rPr>
              <w:t xml:space="preserve">        Prin proiectul Hotărîrii Guvernului se propune împuternicirea ministrului infrastructurii şi dezvoltării regionale de a semna în numele Guvernului contractul de asistență juridică cu</w:t>
            </w:r>
            <w:r w:rsidRPr="0022190E">
              <w:rPr>
                <w:rFonts w:eastAsiaTheme="minorHAnsi"/>
                <w:color w:val="000000"/>
                <w:sz w:val="24"/>
                <w:szCs w:val="24"/>
              </w:rPr>
              <w:t xml:space="preserve"> compania de avocatură </w:t>
            </w:r>
            <w:r w:rsidRPr="0022190E">
              <w:rPr>
                <w:rFonts w:eastAsiaTheme="minorHAnsi"/>
                <w:color w:val="000000"/>
                <w:sz w:val="24"/>
                <w:szCs w:val="24"/>
                <w:lang w:val="ro-RO"/>
              </w:rPr>
              <w:t>„</w:t>
            </w:r>
            <w:r w:rsidRPr="0022190E">
              <w:rPr>
                <w:sz w:val="24"/>
                <w:szCs w:val="24"/>
                <w:lang w:val="ro-RO" w:eastAsia="ru-RU"/>
              </w:rPr>
              <w:t xml:space="preserve">Steptoe </w:t>
            </w:r>
            <w:r w:rsidRPr="0022190E">
              <w:rPr>
                <w:sz w:val="24"/>
                <w:szCs w:val="24"/>
                <w:lang w:eastAsia="ru-RU"/>
              </w:rPr>
              <w:t xml:space="preserve">&amp; Johnson” LLP (Washington, SUA) </w:t>
            </w:r>
            <w:r w:rsidRPr="0022190E">
              <w:rPr>
                <w:sz w:val="24"/>
                <w:szCs w:val="24"/>
                <w:lang w:val="ro-RO" w:eastAsia="ru-RU"/>
              </w:rPr>
              <w:t>în parteneriat cu</w:t>
            </w:r>
            <w:r w:rsidRPr="0022190E">
              <w:rPr>
                <w:sz w:val="24"/>
                <w:szCs w:val="24"/>
                <w:lang w:val="it-IT" w:eastAsia="ru-RU"/>
              </w:rPr>
              <w:t xml:space="preserve"> Biroul Asociat de Avocaţi </w:t>
            </w:r>
            <w:r w:rsidRPr="0022190E">
              <w:rPr>
                <w:sz w:val="24"/>
                <w:szCs w:val="24"/>
                <w:lang w:val="ro-RO" w:eastAsia="ru-RU"/>
              </w:rPr>
              <w:t>„</w:t>
            </w:r>
            <w:r w:rsidRPr="0022190E">
              <w:rPr>
                <w:sz w:val="24"/>
                <w:szCs w:val="24"/>
                <w:lang w:val="it-IT" w:eastAsia="ru-RU"/>
              </w:rPr>
              <w:t>Tănase &amp; Partenerii” (Republica Moldova)</w:t>
            </w:r>
            <w:r w:rsidRPr="0022190E">
              <w:rPr>
                <w:sz w:val="24"/>
                <w:szCs w:val="24"/>
                <w:lang w:val="ro-RO" w:eastAsia="ru-RU"/>
              </w:rPr>
              <w:t>, precum şi actele, acordurile şi procesele-verbale necesare pentru buna executare şi realizare a contractului numit.</w:t>
            </w:r>
          </w:p>
        </w:tc>
      </w:tr>
      <w:tr w:rsidR="004F6623" w:rsidRPr="00891130" w:rsidTr="00DF118A">
        <w:tc>
          <w:tcPr>
            <w:tcW w:w="5000" w:type="pct"/>
            <w:shd w:val="clear" w:color="auto" w:fill="A6A6A6"/>
          </w:tcPr>
          <w:p w:rsidR="004F6623" w:rsidRPr="00891130" w:rsidRDefault="004F6623" w:rsidP="00DF118A">
            <w:pPr>
              <w:ind w:firstLine="0"/>
              <w:rPr>
                <w:rFonts w:eastAsia="Calibri"/>
                <w:sz w:val="24"/>
                <w:szCs w:val="24"/>
                <w:lang w:val="ro-RO"/>
              </w:rPr>
            </w:pPr>
            <w:r w:rsidRPr="00891130">
              <w:rPr>
                <w:rFonts w:eastAsia="Calibri"/>
                <w:sz w:val="24"/>
                <w:szCs w:val="24"/>
                <w:lang w:val="ro-RO"/>
              </w:rPr>
              <w:lastRenderedPageBreak/>
              <w:t>3. Descrierea gradului de compatibilitate pentru proiectele care au ca scop armonizarea legislaţiei naţionale cu legislaţia Uniunii Europene</w:t>
            </w:r>
          </w:p>
        </w:tc>
      </w:tr>
      <w:tr w:rsidR="004F6623" w:rsidRPr="00891130" w:rsidTr="00DF118A">
        <w:tc>
          <w:tcPr>
            <w:tcW w:w="5000" w:type="pct"/>
          </w:tcPr>
          <w:p w:rsidR="004F6623" w:rsidRPr="00891130" w:rsidRDefault="004F6623" w:rsidP="00DF118A">
            <w:pPr>
              <w:ind w:right="-98" w:firstLine="0"/>
              <w:rPr>
                <w:rFonts w:eastAsia="Calibri"/>
                <w:sz w:val="24"/>
                <w:szCs w:val="24"/>
                <w:lang w:val="ro-RO"/>
              </w:rPr>
            </w:pPr>
            <w:r w:rsidRPr="00891130">
              <w:rPr>
                <w:rFonts w:eastAsia="Calibri"/>
                <w:sz w:val="24"/>
                <w:szCs w:val="24"/>
                <w:lang w:val="ro-RO"/>
              </w:rPr>
              <w:t xml:space="preserve">     </w:t>
            </w:r>
            <w:r w:rsidR="00B80570">
              <w:rPr>
                <w:rFonts w:eastAsia="Calibri"/>
                <w:sz w:val="24"/>
                <w:szCs w:val="24"/>
                <w:lang w:val="ro-RO"/>
              </w:rPr>
              <w:t xml:space="preserve"> </w:t>
            </w:r>
            <w:r w:rsidRPr="00891130">
              <w:rPr>
                <w:rFonts w:eastAsia="Calibri"/>
                <w:sz w:val="24"/>
                <w:szCs w:val="24"/>
                <w:lang w:val="ro-RO"/>
              </w:rPr>
              <w:t xml:space="preserve"> Proiectul menționat nu transpune legislația Uniunii Europene.</w:t>
            </w:r>
          </w:p>
        </w:tc>
      </w:tr>
      <w:tr w:rsidR="004F6623" w:rsidRPr="00891130" w:rsidTr="00DF118A">
        <w:tc>
          <w:tcPr>
            <w:tcW w:w="5000" w:type="pct"/>
            <w:shd w:val="clear" w:color="auto" w:fill="A6A6A6"/>
          </w:tcPr>
          <w:p w:rsidR="004F6623" w:rsidRPr="00891130" w:rsidRDefault="004F6623" w:rsidP="00DF118A">
            <w:pPr>
              <w:ind w:firstLine="0"/>
              <w:rPr>
                <w:rFonts w:eastAsia="Calibri"/>
                <w:sz w:val="24"/>
                <w:szCs w:val="24"/>
                <w:lang w:val="ro-RO"/>
              </w:rPr>
            </w:pPr>
            <w:r w:rsidRPr="00891130">
              <w:rPr>
                <w:rFonts w:eastAsia="Calibri"/>
                <w:sz w:val="24"/>
                <w:szCs w:val="24"/>
                <w:lang w:val="ro-RO"/>
              </w:rPr>
              <w:t>4. Principalele prevederi ale proiectului şi evidenţierea elementelor noi</w:t>
            </w:r>
          </w:p>
        </w:tc>
      </w:tr>
      <w:tr w:rsidR="004F6623" w:rsidRPr="00F474EF" w:rsidTr="00DF118A">
        <w:tc>
          <w:tcPr>
            <w:tcW w:w="5000" w:type="pct"/>
          </w:tcPr>
          <w:p w:rsidR="004F6623" w:rsidRPr="00A43438" w:rsidRDefault="004F6623" w:rsidP="00DF118A">
            <w:pPr>
              <w:spacing w:after="120"/>
              <w:ind w:right="125" w:firstLine="0"/>
              <w:rPr>
                <w:bCs/>
                <w:sz w:val="24"/>
                <w:szCs w:val="24"/>
                <w:lang w:val="ro-RO" w:eastAsia="ru-RU"/>
              </w:rPr>
            </w:pPr>
            <w:r w:rsidRPr="00891130">
              <w:rPr>
                <w:rFonts w:eastAsia="Calibri"/>
                <w:sz w:val="24"/>
                <w:szCs w:val="24"/>
                <w:lang w:val="ro-RO"/>
              </w:rPr>
              <w:t xml:space="preserve">     </w:t>
            </w:r>
            <w:r w:rsidR="00B80570">
              <w:rPr>
                <w:rFonts w:eastAsia="Calibri"/>
                <w:sz w:val="24"/>
                <w:szCs w:val="24"/>
                <w:lang w:val="ro-RO"/>
              </w:rPr>
              <w:t xml:space="preserve">  </w:t>
            </w:r>
            <w:r w:rsidRPr="00BE679E">
              <w:rPr>
                <w:rFonts w:eastAsia="Calibri"/>
                <w:sz w:val="24"/>
                <w:szCs w:val="24"/>
                <w:lang w:val="ro-RO"/>
              </w:rPr>
              <w:t>Principalele prevederi a</w:t>
            </w:r>
            <w:r>
              <w:rPr>
                <w:rFonts w:eastAsia="Calibri"/>
                <w:sz w:val="24"/>
                <w:szCs w:val="24"/>
                <w:lang w:val="ro-RO"/>
              </w:rPr>
              <w:t>le</w:t>
            </w:r>
            <w:r w:rsidRPr="00BE679E">
              <w:rPr>
                <w:rFonts w:eastAsia="Calibri"/>
                <w:sz w:val="24"/>
                <w:szCs w:val="24"/>
                <w:lang w:val="ro-RO"/>
              </w:rPr>
              <w:t xml:space="preserve"> proiectului se rezumă la</w:t>
            </w:r>
            <w:r w:rsidRPr="00BE679E">
              <w:rPr>
                <w:bCs/>
                <w:sz w:val="24"/>
                <w:szCs w:val="24"/>
                <w:lang w:val="ro-RO" w:eastAsia="ru-RU"/>
              </w:rPr>
              <w:t xml:space="preserve"> acordarea împuternicirilor de negociere şi semnare a unui contract </w:t>
            </w:r>
            <w:r w:rsidRPr="00F43C61">
              <w:rPr>
                <w:rFonts w:eastAsiaTheme="minorHAnsi"/>
                <w:sz w:val="24"/>
                <w:szCs w:val="24"/>
                <w:lang w:val="ro-RO"/>
              </w:rPr>
              <w:t>în</w:t>
            </w:r>
            <w:r w:rsidRPr="00F43C61">
              <w:rPr>
                <w:rFonts w:eastAsiaTheme="minorHAnsi"/>
                <w:sz w:val="24"/>
                <w:szCs w:val="24"/>
                <w:lang w:val="ro-RO" w:eastAsia="ru-RU"/>
              </w:rPr>
              <w:t xml:space="preserve"> scopul </w:t>
            </w:r>
            <w:r>
              <w:rPr>
                <w:sz w:val="24"/>
                <w:szCs w:val="24"/>
                <w:lang w:val="ro-RO" w:eastAsia="ru-RU"/>
              </w:rPr>
              <w:t xml:space="preserve">executării obligaţiei de plată a </w:t>
            </w:r>
            <w:r w:rsidRPr="009707FE">
              <w:rPr>
                <w:sz w:val="24"/>
                <w:szCs w:val="24"/>
                <w:lang w:eastAsia="ru-RU"/>
              </w:rPr>
              <w:t>onorariilor</w:t>
            </w:r>
            <w:r w:rsidRPr="009707FE">
              <w:rPr>
                <w:sz w:val="24"/>
                <w:szCs w:val="24"/>
                <w:lang w:val="ro-RO" w:eastAsia="ru-RU"/>
              </w:rPr>
              <w:t xml:space="preserve"> companiei de avocatură „Steptoe </w:t>
            </w:r>
            <w:r w:rsidRPr="009707FE">
              <w:rPr>
                <w:sz w:val="24"/>
                <w:szCs w:val="24"/>
                <w:lang w:eastAsia="ru-RU"/>
              </w:rPr>
              <w:t>&amp; Johnson</w:t>
            </w:r>
            <w:r>
              <w:rPr>
                <w:sz w:val="24"/>
                <w:szCs w:val="24"/>
                <w:lang w:eastAsia="ru-RU"/>
              </w:rPr>
              <w:t>”</w:t>
            </w:r>
            <w:r w:rsidRPr="009707FE">
              <w:rPr>
                <w:sz w:val="24"/>
                <w:szCs w:val="24"/>
                <w:lang w:eastAsia="ru-RU"/>
              </w:rPr>
              <w:t xml:space="preserve"> LLP (Washington, SUA) </w:t>
            </w:r>
            <w:r w:rsidRPr="009707FE">
              <w:rPr>
                <w:sz w:val="24"/>
                <w:szCs w:val="24"/>
                <w:lang w:val="ro-RO" w:eastAsia="ru-RU"/>
              </w:rPr>
              <w:t>în parteneriat cu</w:t>
            </w:r>
            <w:r>
              <w:rPr>
                <w:sz w:val="24"/>
                <w:szCs w:val="24"/>
                <w:lang w:val="it-IT" w:eastAsia="ru-RU"/>
              </w:rPr>
              <w:t xml:space="preserve"> Biroul asociat de avocaţi </w:t>
            </w:r>
            <w:r w:rsidRPr="009707FE">
              <w:rPr>
                <w:sz w:val="24"/>
                <w:szCs w:val="24"/>
                <w:lang w:val="ro-RO" w:eastAsia="ru-RU"/>
              </w:rPr>
              <w:t>„</w:t>
            </w:r>
            <w:r w:rsidRPr="009707FE">
              <w:rPr>
                <w:sz w:val="24"/>
                <w:szCs w:val="24"/>
                <w:lang w:val="it-IT" w:eastAsia="ru-RU"/>
              </w:rPr>
              <w:t>Tănase &amp; Partenerii” (Republica Moldova)</w:t>
            </w:r>
            <w:r>
              <w:rPr>
                <w:sz w:val="24"/>
                <w:szCs w:val="24"/>
                <w:lang w:eastAsia="ru-RU"/>
              </w:rPr>
              <w:t xml:space="preserve"> pentru reprezentarea</w:t>
            </w:r>
            <w:r w:rsidRPr="009707FE">
              <w:rPr>
                <w:sz w:val="24"/>
                <w:szCs w:val="24"/>
                <w:lang w:eastAsia="ru-RU"/>
              </w:rPr>
              <w:t xml:space="preserve"> intereselor statului </w:t>
            </w:r>
            <w:r w:rsidRPr="009707FE">
              <w:rPr>
                <w:bCs/>
                <w:sz w:val="24"/>
                <w:szCs w:val="24"/>
                <w:lang w:eastAsia="ru-RU"/>
              </w:rPr>
              <w:t>în acţiunea înaintată de</w:t>
            </w:r>
            <w:r w:rsidRPr="009707FE">
              <w:rPr>
                <w:b/>
                <w:bCs/>
                <w:sz w:val="24"/>
                <w:szCs w:val="24"/>
                <w:lang w:eastAsia="ru-RU"/>
              </w:rPr>
              <w:t xml:space="preserve"> </w:t>
            </w:r>
            <w:r w:rsidRPr="009707FE">
              <w:rPr>
                <w:sz w:val="24"/>
                <w:szCs w:val="24"/>
                <w:lang w:eastAsia="ru-RU"/>
              </w:rPr>
              <w:t xml:space="preserve">Gater Assets Limited </w:t>
            </w:r>
            <w:r w:rsidRPr="009707FE">
              <w:rPr>
                <w:iCs/>
                <w:sz w:val="24"/>
                <w:szCs w:val="24"/>
                <w:lang w:eastAsia="ru-RU"/>
              </w:rPr>
              <w:t>împotriva Republicii Moldova</w:t>
            </w:r>
            <w:r w:rsidRPr="00D05102">
              <w:rPr>
                <w:sz w:val="24"/>
                <w:szCs w:val="24"/>
                <w:lang w:eastAsia="ru-RU"/>
              </w:rPr>
              <w:t xml:space="preserve"> alătur</w:t>
            </w:r>
            <w:r>
              <w:rPr>
                <w:sz w:val="24"/>
                <w:szCs w:val="24"/>
                <w:lang w:eastAsia="ru-RU"/>
              </w:rPr>
              <w:t xml:space="preserve">i de SC </w:t>
            </w:r>
            <w:r>
              <w:rPr>
                <w:sz w:val="24"/>
                <w:szCs w:val="24"/>
                <w:lang w:val="ro-RO" w:eastAsia="ru-RU"/>
              </w:rPr>
              <w:t>„</w:t>
            </w:r>
            <w:r>
              <w:rPr>
                <w:sz w:val="24"/>
                <w:szCs w:val="24"/>
                <w:lang w:eastAsia="ru-RU"/>
              </w:rPr>
              <w:t xml:space="preserve">Gazsnabtranzit” SA şi SC </w:t>
            </w:r>
            <w:r>
              <w:rPr>
                <w:sz w:val="24"/>
                <w:szCs w:val="24"/>
                <w:lang w:val="ro-RO" w:eastAsia="ru-RU"/>
              </w:rPr>
              <w:t>„</w:t>
            </w:r>
            <w:r w:rsidRPr="00D05102">
              <w:rPr>
                <w:sz w:val="24"/>
                <w:szCs w:val="24"/>
                <w:lang w:eastAsia="ru-RU"/>
              </w:rPr>
              <w:t>Moldovagaz”</w:t>
            </w:r>
            <w:r>
              <w:rPr>
                <w:sz w:val="24"/>
                <w:szCs w:val="24"/>
                <w:lang w:eastAsia="ru-RU"/>
              </w:rPr>
              <w:t xml:space="preserve"> SA</w:t>
            </w:r>
            <w:r>
              <w:rPr>
                <w:i/>
                <w:iCs/>
                <w:sz w:val="24"/>
                <w:szCs w:val="24"/>
                <w:lang w:eastAsia="ru-RU"/>
              </w:rPr>
              <w:t xml:space="preserve">, </w:t>
            </w:r>
            <w:r w:rsidRPr="005A56CD">
              <w:rPr>
                <w:iCs/>
                <w:sz w:val="24"/>
                <w:szCs w:val="24"/>
                <w:lang w:eastAsia="ru-RU"/>
              </w:rPr>
              <w:t xml:space="preserve">la </w:t>
            </w:r>
            <w:r>
              <w:rPr>
                <w:iCs/>
                <w:sz w:val="24"/>
                <w:szCs w:val="24"/>
                <w:lang w:eastAsia="ru-RU"/>
              </w:rPr>
              <w:t>Curtea</w:t>
            </w:r>
            <w:r w:rsidRPr="009707FE">
              <w:rPr>
                <w:iCs/>
                <w:sz w:val="24"/>
                <w:szCs w:val="24"/>
                <w:lang w:eastAsia="ru-RU"/>
              </w:rPr>
              <w:t xml:space="preserve"> de Apel a Statelor Unite pentru al Doilea</w:t>
            </w:r>
            <w:r w:rsidRPr="009707FE">
              <w:rPr>
                <w:sz w:val="24"/>
                <w:szCs w:val="24"/>
                <w:lang w:eastAsia="ru-RU"/>
              </w:rPr>
              <w:t xml:space="preserve"> </w:t>
            </w:r>
            <w:r w:rsidRPr="009707FE">
              <w:rPr>
                <w:iCs/>
                <w:sz w:val="24"/>
                <w:szCs w:val="24"/>
                <w:lang w:eastAsia="ru-RU"/>
              </w:rPr>
              <w:t>Circuit</w:t>
            </w:r>
            <w:r w:rsidRPr="009707FE">
              <w:rPr>
                <w:sz w:val="24"/>
                <w:szCs w:val="24"/>
                <w:lang w:eastAsia="ru-RU"/>
              </w:rPr>
              <w:t xml:space="preserve"> </w:t>
            </w:r>
            <w:r w:rsidRPr="009707FE">
              <w:rPr>
                <w:iCs/>
                <w:sz w:val="24"/>
                <w:szCs w:val="24"/>
                <w:lang w:eastAsia="ru-RU"/>
              </w:rPr>
              <w:t>(SUA)</w:t>
            </w:r>
            <w:r>
              <w:rPr>
                <w:b/>
                <w:bCs/>
                <w:sz w:val="24"/>
                <w:szCs w:val="24"/>
                <w:lang w:eastAsia="ru-RU"/>
              </w:rPr>
              <w:t>.</w:t>
            </w:r>
          </w:p>
        </w:tc>
      </w:tr>
      <w:tr w:rsidR="004F6623" w:rsidRPr="00891130" w:rsidTr="00DF118A">
        <w:tc>
          <w:tcPr>
            <w:tcW w:w="5000" w:type="pct"/>
            <w:shd w:val="clear" w:color="auto" w:fill="A6A6A6"/>
          </w:tcPr>
          <w:p w:rsidR="004F6623" w:rsidRPr="00891130" w:rsidRDefault="004F6623" w:rsidP="00DF118A">
            <w:pPr>
              <w:ind w:firstLine="0"/>
              <w:rPr>
                <w:rFonts w:eastAsia="Calibri"/>
                <w:sz w:val="24"/>
                <w:szCs w:val="24"/>
                <w:lang w:val="ro-RO"/>
              </w:rPr>
            </w:pPr>
            <w:r w:rsidRPr="00891130">
              <w:rPr>
                <w:rFonts w:eastAsia="Calibri"/>
                <w:sz w:val="24"/>
                <w:szCs w:val="24"/>
                <w:lang w:val="ro-RO"/>
              </w:rPr>
              <w:t>5. Fundamentarea economico-financiară</w:t>
            </w:r>
          </w:p>
        </w:tc>
      </w:tr>
      <w:tr w:rsidR="004F6623" w:rsidRPr="00891130" w:rsidTr="00DF118A">
        <w:tc>
          <w:tcPr>
            <w:tcW w:w="5000" w:type="pct"/>
          </w:tcPr>
          <w:p w:rsidR="004F6623" w:rsidRPr="00891130" w:rsidRDefault="004F6623" w:rsidP="00E928EF">
            <w:pPr>
              <w:ind w:firstLine="0"/>
              <w:rPr>
                <w:rFonts w:eastAsia="Calibri"/>
                <w:sz w:val="24"/>
                <w:szCs w:val="24"/>
                <w:lang w:val="ro-RO"/>
              </w:rPr>
            </w:pPr>
            <w:r w:rsidRPr="00891130">
              <w:rPr>
                <w:rFonts w:eastAsia="Calibri"/>
                <w:sz w:val="24"/>
                <w:szCs w:val="24"/>
                <w:lang w:val="ro-RO"/>
              </w:rPr>
              <w:t xml:space="preserve">  </w:t>
            </w:r>
            <w:r w:rsidR="00B80570">
              <w:rPr>
                <w:rFonts w:eastAsia="Calibri"/>
                <w:sz w:val="24"/>
                <w:szCs w:val="24"/>
                <w:lang w:val="ro-RO"/>
              </w:rPr>
              <w:t xml:space="preserve">   </w:t>
            </w:r>
            <w:r w:rsidRPr="00891130">
              <w:rPr>
                <w:rFonts w:eastAsia="Calibri"/>
                <w:sz w:val="24"/>
                <w:szCs w:val="24"/>
                <w:lang w:val="ro-RO"/>
              </w:rPr>
              <w:t xml:space="preserve"> </w:t>
            </w:r>
            <w:r w:rsidR="00B80570">
              <w:rPr>
                <w:rFonts w:eastAsia="Calibri"/>
                <w:sz w:val="24"/>
                <w:szCs w:val="24"/>
                <w:lang w:val="ro-RO"/>
              </w:rPr>
              <w:t xml:space="preserve">  </w:t>
            </w:r>
            <w:r w:rsidR="00B06D18">
              <w:rPr>
                <w:rFonts w:eastAsia="Calibri"/>
                <w:sz w:val="24"/>
                <w:szCs w:val="24"/>
                <w:lang w:val="ro-RO"/>
              </w:rPr>
              <w:t xml:space="preserve">Cheltuielile </w:t>
            </w:r>
            <w:r w:rsidR="00F93763">
              <w:rPr>
                <w:rFonts w:eastAsia="Calibri"/>
                <w:sz w:val="24"/>
                <w:szCs w:val="24"/>
                <w:lang w:val="ro-RO"/>
              </w:rPr>
              <w:t>de implimentare a prezentului proiect urmează a fi suportate de Ministerul</w:t>
            </w:r>
            <w:r w:rsidR="00F93763" w:rsidRPr="00F93763">
              <w:rPr>
                <w:rFonts w:eastAsia="Calibri"/>
                <w:sz w:val="24"/>
                <w:szCs w:val="24"/>
                <w:lang w:val="ro-RO"/>
              </w:rPr>
              <w:t xml:space="preserve"> Infrastructurii şi Dezvoltării Regionale</w:t>
            </w:r>
            <w:r w:rsidRPr="00891130">
              <w:rPr>
                <w:rFonts w:eastAsia="Calibri"/>
                <w:sz w:val="24"/>
                <w:szCs w:val="24"/>
                <w:lang w:val="ro-RO"/>
              </w:rPr>
              <w:t xml:space="preserve"> </w:t>
            </w:r>
            <w:r w:rsidR="00F93763">
              <w:rPr>
                <w:rFonts w:eastAsia="Calibri"/>
                <w:sz w:val="24"/>
                <w:szCs w:val="24"/>
                <w:lang w:val="ro-RO"/>
              </w:rPr>
              <w:t>prin redistribuirea alocaţiilor aprobate între ca</w:t>
            </w:r>
            <w:r w:rsidR="00E928EF">
              <w:rPr>
                <w:rFonts w:eastAsia="Calibri"/>
                <w:sz w:val="24"/>
                <w:szCs w:val="24"/>
                <w:lang w:val="ro-RO"/>
              </w:rPr>
              <w:t>tegoriile economice. După necesitate, Ministerul</w:t>
            </w:r>
            <w:r w:rsidR="00E928EF" w:rsidRPr="0022190E">
              <w:rPr>
                <w:color w:val="000000"/>
                <w:sz w:val="24"/>
                <w:szCs w:val="24"/>
                <w:lang w:val="ro-RO"/>
              </w:rPr>
              <w:t xml:space="preserve"> Infrastructurii şi Dezvoltării Regionale</w:t>
            </w:r>
            <w:r w:rsidR="00E928EF">
              <w:rPr>
                <w:color w:val="000000"/>
                <w:sz w:val="24"/>
                <w:szCs w:val="24"/>
                <w:lang w:val="ro-RO"/>
              </w:rPr>
              <w:t>,</w:t>
            </w:r>
            <w:r w:rsidR="00E928EF">
              <w:rPr>
                <w:rFonts w:eastAsia="Calibri"/>
                <w:sz w:val="24"/>
                <w:szCs w:val="24"/>
                <w:lang w:val="ro-RO"/>
              </w:rPr>
              <w:t xml:space="preserve"> </w:t>
            </w:r>
            <w:r w:rsidR="00F93763">
              <w:rPr>
                <w:rFonts w:eastAsia="Calibri"/>
                <w:sz w:val="24"/>
                <w:szCs w:val="24"/>
                <w:lang w:val="ro-RO"/>
              </w:rPr>
              <w:t xml:space="preserve"> la ulterioara rectificare</w:t>
            </w:r>
            <w:r w:rsidR="00E928EF">
              <w:rPr>
                <w:rFonts w:eastAsia="Calibri"/>
                <w:sz w:val="24"/>
                <w:szCs w:val="24"/>
                <w:lang w:val="ro-RO"/>
              </w:rPr>
              <w:t xml:space="preserve"> bugetară va înainta propuneri de suplimentare a cheltuielilor suportate.</w:t>
            </w:r>
          </w:p>
        </w:tc>
      </w:tr>
      <w:tr w:rsidR="004F6623" w:rsidRPr="00891130" w:rsidTr="00DF118A">
        <w:tc>
          <w:tcPr>
            <w:tcW w:w="5000" w:type="pct"/>
            <w:shd w:val="clear" w:color="auto" w:fill="A6A6A6"/>
          </w:tcPr>
          <w:p w:rsidR="004F6623" w:rsidRPr="00891130" w:rsidRDefault="004F6623" w:rsidP="00DF118A">
            <w:pPr>
              <w:ind w:firstLine="0"/>
              <w:rPr>
                <w:rFonts w:eastAsia="Calibri"/>
                <w:sz w:val="24"/>
                <w:szCs w:val="24"/>
                <w:lang w:val="ro-RO"/>
              </w:rPr>
            </w:pPr>
            <w:r w:rsidRPr="00891130">
              <w:rPr>
                <w:rFonts w:eastAsia="Calibri"/>
                <w:sz w:val="24"/>
                <w:szCs w:val="24"/>
                <w:lang w:val="ro-RO"/>
              </w:rPr>
              <w:t>6. Modul de încorporare a actului în cadrul normativ în vigoare</w:t>
            </w:r>
          </w:p>
        </w:tc>
      </w:tr>
      <w:tr w:rsidR="004F6623" w:rsidRPr="00891130" w:rsidTr="00DF118A">
        <w:tc>
          <w:tcPr>
            <w:tcW w:w="5000" w:type="pct"/>
          </w:tcPr>
          <w:p w:rsidR="004F6623" w:rsidRPr="00891130" w:rsidRDefault="004F6623" w:rsidP="00DF118A">
            <w:pPr>
              <w:ind w:firstLine="0"/>
              <w:rPr>
                <w:rFonts w:eastAsia="Calibri"/>
                <w:sz w:val="24"/>
                <w:szCs w:val="24"/>
                <w:lang w:val="ro-RO"/>
              </w:rPr>
            </w:pPr>
            <w:r>
              <w:rPr>
                <w:rFonts w:eastAsia="Calibri"/>
                <w:sz w:val="24"/>
                <w:szCs w:val="24"/>
                <w:lang w:val="ro-RO"/>
              </w:rPr>
              <w:t xml:space="preserve">      </w:t>
            </w:r>
            <w:r w:rsidR="00B80570">
              <w:rPr>
                <w:rFonts w:eastAsia="Calibri"/>
                <w:sz w:val="24"/>
                <w:szCs w:val="24"/>
                <w:lang w:val="ro-RO"/>
              </w:rPr>
              <w:t xml:space="preserve"> </w:t>
            </w:r>
            <w:r w:rsidRPr="00BE679E">
              <w:rPr>
                <w:rFonts w:eastAsia="Calibri"/>
                <w:sz w:val="24"/>
                <w:szCs w:val="24"/>
                <w:lang w:val="ro-RO"/>
              </w:rPr>
              <w:t>P</w:t>
            </w:r>
            <w:r>
              <w:rPr>
                <w:rFonts w:eastAsia="Calibri"/>
                <w:sz w:val="24"/>
                <w:szCs w:val="24"/>
                <w:lang w:val="ro-RO"/>
              </w:rPr>
              <w:t>roiectul se încorporează</w:t>
            </w:r>
            <w:r w:rsidRPr="00BE679E">
              <w:rPr>
                <w:rFonts w:eastAsia="Calibri"/>
                <w:sz w:val="24"/>
                <w:szCs w:val="24"/>
                <w:lang w:val="ro-RO"/>
              </w:rPr>
              <w:t xml:space="preserve"> în sistemul actelor normative și nu va necesita modificarea altor acte normative.</w:t>
            </w:r>
            <w:r w:rsidRPr="00891130">
              <w:rPr>
                <w:rFonts w:eastAsia="Calibri"/>
                <w:sz w:val="24"/>
                <w:szCs w:val="24"/>
                <w:lang w:val="ro-RO"/>
              </w:rPr>
              <w:t xml:space="preserve"> </w:t>
            </w:r>
          </w:p>
        </w:tc>
      </w:tr>
      <w:tr w:rsidR="004F6623" w:rsidRPr="00891130" w:rsidTr="00DF118A">
        <w:tc>
          <w:tcPr>
            <w:tcW w:w="5000" w:type="pct"/>
            <w:shd w:val="clear" w:color="auto" w:fill="A6A6A6"/>
          </w:tcPr>
          <w:p w:rsidR="004F6623" w:rsidRPr="00891130" w:rsidRDefault="004F6623" w:rsidP="00DF118A">
            <w:pPr>
              <w:ind w:firstLine="0"/>
              <w:rPr>
                <w:rFonts w:eastAsia="Calibri"/>
                <w:sz w:val="24"/>
                <w:szCs w:val="24"/>
                <w:lang w:val="ro-RO"/>
              </w:rPr>
            </w:pPr>
            <w:r w:rsidRPr="00891130">
              <w:rPr>
                <w:rFonts w:eastAsia="Calibri"/>
                <w:sz w:val="24"/>
                <w:szCs w:val="24"/>
                <w:lang w:val="ro-RO"/>
              </w:rPr>
              <w:t>7. Avizarea şi consultarea publică a proiectului</w:t>
            </w:r>
          </w:p>
        </w:tc>
      </w:tr>
      <w:tr w:rsidR="004F6623" w:rsidRPr="00891130" w:rsidTr="00DF118A">
        <w:tc>
          <w:tcPr>
            <w:tcW w:w="5000" w:type="pct"/>
          </w:tcPr>
          <w:p w:rsidR="004F6623" w:rsidRPr="00891130" w:rsidRDefault="004F6623" w:rsidP="00DF118A">
            <w:pPr>
              <w:ind w:firstLine="0"/>
              <w:rPr>
                <w:rFonts w:eastAsia="Calibri"/>
                <w:sz w:val="24"/>
                <w:szCs w:val="24"/>
                <w:lang w:val="ro-RO"/>
              </w:rPr>
            </w:pPr>
            <w:r w:rsidRPr="00891130">
              <w:rPr>
                <w:rFonts w:eastAsia="Calibri"/>
                <w:sz w:val="24"/>
                <w:szCs w:val="24"/>
                <w:lang w:val="ro-RO"/>
              </w:rPr>
              <w:t xml:space="preserve">      </w:t>
            </w:r>
            <w:r>
              <w:rPr>
                <w:rFonts w:eastAsia="Calibri"/>
                <w:sz w:val="24"/>
                <w:szCs w:val="24"/>
                <w:lang w:val="ro-RO"/>
              </w:rPr>
              <w:t xml:space="preserve"> Proiectul </w:t>
            </w:r>
            <w:r>
              <w:t xml:space="preserve"> </w:t>
            </w:r>
            <w:r w:rsidRPr="000D4641">
              <w:rPr>
                <w:rFonts w:eastAsia="Calibri"/>
                <w:sz w:val="24"/>
                <w:szCs w:val="24"/>
                <w:lang w:val="ro-RO"/>
              </w:rPr>
              <w:t xml:space="preserve">va fi supus </w:t>
            </w:r>
            <w:r>
              <w:rPr>
                <w:rFonts w:eastAsia="Calibri"/>
                <w:sz w:val="24"/>
                <w:szCs w:val="24"/>
                <w:lang w:val="ro-RO"/>
              </w:rPr>
              <w:t xml:space="preserve">procedurii de avizare </w:t>
            </w:r>
            <w:r w:rsidRPr="000D4641">
              <w:rPr>
                <w:rFonts w:eastAsia="Calibri"/>
                <w:sz w:val="24"/>
                <w:szCs w:val="24"/>
                <w:lang w:val="ro-RO"/>
              </w:rPr>
              <w:t>în conformitate cu art. 3</w:t>
            </w:r>
            <w:r>
              <w:rPr>
                <w:rFonts w:eastAsia="Calibri"/>
                <w:sz w:val="24"/>
                <w:szCs w:val="24"/>
                <w:lang w:val="ro-RO"/>
              </w:rPr>
              <w:t>2</w:t>
            </w:r>
            <w:r w:rsidRPr="000D4641">
              <w:rPr>
                <w:rFonts w:eastAsia="Calibri"/>
                <w:sz w:val="24"/>
                <w:szCs w:val="24"/>
                <w:lang w:val="ro-RO"/>
              </w:rPr>
              <w:t xml:space="preserve"> din Legea nr. 100/ 2017 cu privire la actele</w:t>
            </w:r>
            <w:r>
              <w:rPr>
                <w:rFonts w:eastAsia="Calibri"/>
                <w:sz w:val="24"/>
                <w:szCs w:val="24"/>
                <w:lang w:val="ro-RO"/>
              </w:rPr>
              <w:t xml:space="preserve"> </w:t>
            </w:r>
            <w:r w:rsidRPr="000D4641">
              <w:rPr>
                <w:rFonts w:eastAsia="Calibri"/>
                <w:sz w:val="24"/>
                <w:szCs w:val="24"/>
                <w:lang w:val="ro-RO"/>
              </w:rPr>
              <w:t>normative.</w:t>
            </w:r>
            <w:r w:rsidRPr="00891130">
              <w:rPr>
                <w:rFonts w:eastAsia="Calibri"/>
                <w:sz w:val="24"/>
                <w:szCs w:val="24"/>
                <w:lang w:val="ro-RO"/>
              </w:rPr>
              <w:t xml:space="preserve"> </w:t>
            </w:r>
          </w:p>
        </w:tc>
      </w:tr>
      <w:tr w:rsidR="004F6623" w:rsidRPr="00891130" w:rsidTr="00DF118A">
        <w:tc>
          <w:tcPr>
            <w:tcW w:w="5000" w:type="pct"/>
            <w:shd w:val="clear" w:color="auto" w:fill="A6A6A6"/>
          </w:tcPr>
          <w:p w:rsidR="004F6623" w:rsidRPr="00891130" w:rsidRDefault="004F6623" w:rsidP="00DF118A">
            <w:pPr>
              <w:ind w:firstLine="0"/>
              <w:rPr>
                <w:rFonts w:eastAsia="Calibri"/>
                <w:sz w:val="24"/>
                <w:szCs w:val="24"/>
                <w:lang w:val="ro-RO"/>
              </w:rPr>
            </w:pPr>
            <w:r w:rsidRPr="00891130">
              <w:rPr>
                <w:rFonts w:eastAsia="Calibri"/>
                <w:sz w:val="24"/>
                <w:szCs w:val="24"/>
                <w:lang w:val="ro-RO"/>
              </w:rPr>
              <w:t>8. Constatările expertizei anticorupție</w:t>
            </w:r>
          </w:p>
        </w:tc>
      </w:tr>
      <w:tr w:rsidR="004F6623" w:rsidRPr="00891130" w:rsidTr="00DF118A">
        <w:tc>
          <w:tcPr>
            <w:tcW w:w="5000" w:type="pct"/>
          </w:tcPr>
          <w:p w:rsidR="004F6623" w:rsidRPr="00891130" w:rsidRDefault="004F6623" w:rsidP="00DF118A">
            <w:pPr>
              <w:ind w:firstLine="0"/>
              <w:rPr>
                <w:rFonts w:eastAsia="Calibri"/>
                <w:sz w:val="24"/>
                <w:szCs w:val="24"/>
                <w:lang w:val="ro-RO"/>
              </w:rPr>
            </w:pPr>
            <w:r w:rsidRPr="00891130">
              <w:rPr>
                <w:rFonts w:eastAsia="Calibri"/>
                <w:sz w:val="24"/>
                <w:szCs w:val="24"/>
                <w:lang w:val="ro-RO"/>
              </w:rPr>
              <w:t xml:space="preserve">     </w:t>
            </w:r>
            <w:r>
              <w:rPr>
                <w:rFonts w:eastAsia="Calibri"/>
                <w:sz w:val="28"/>
                <w:szCs w:val="28"/>
                <w:lang w:val="ro-RO"/>
              </w:rPr>
              <w:t xml:space="preserve">  </w:t>
            </w:r>
            <w:r w:rsidRPr="00360E60">
              <w:rPr>
                <w:rFonts w:eastAsia="Calibri"/>
                <w:sz w:val="24"/>
                <w:szCs w:val="24"/>
                <w:lang w:val="ro-RO"/>
              </w:rPr>
              <w:t>Proiectul urmează a fi supus expertizei anticorupție</w:t>
            </w:r>
            <w:r w:rsidRPr="000D4641">
              <w:rPr>
                <w:rFonts w:eastAsia="Calibri"/>
                <w:sz w:val="24"/>
                <w:szCs w:val="24"/>
                <w:lang w:val="ro-RO"/>
              </w:rPr>
              <w:t xml:space="preserve"> de către Centrul Național</w:t>
            </w:r>
            <w:r>
              <w:rPr>
                <w:rFonts w:eastAsia="Calibri"/>
                <w:sz w:val="24"/>
                <w:szCs w:val="24"/>
                <w:lang w:val="ro-RO"/>
              </w:rPr>
              <w:t xml:space="preserve"> </w:t>
            </w:r>
            <w:r w:rsidRPr="000D4641">
              <w:rPr>
                <w:rFonts w:eastAsia="Calibri"/>
                <w:sz w:val="24"/>
                <w:szCs w:val="24"/>
                <w:lang w:val="ro-RO"/>
              </w:rPr>
              <w:t>Anticorupție în conformitate cu art. 35 din Legea nr. 100/ 2017 cu privire la actele</w:t>
            </w:r>
            <w:r>
              <w:rPr>
                <w:rFonts w:eastAsia="Calibri"/>
                <w:sz w:val="24"/>
                <w:szCs w:val="24"/>
                <w:lang w:val="ro-RO"/>
              </w:rPr>
              <w:t xml:space="preserve"> </w:t>
            </w:r>
            <w:r w:rsidRPr="000D4641">
              <w:rPr>
                <w:rFonts w:eastAsia="Calibri"/>
                <w:sz w:val="24"/>
                <w:szCs w:val="24"/>
                <w:lang w:val="ro-RO"/>
              </w:rPr>
              <w:t>normative.</w:t>
            </w:r>
            <w:r w:rsidRPr="00891130">
              <w:rPr>
                <w:rFonts w:eastAsia="Calibri"/>
                <w:sz w:val="24"/>
                <w:szCs w:val="24"/>
                <w:lang w:val="ro-RO"/>
              </w:rPr>
              <w:t xml:space="preserve"> </w:t>
            </w:r>
          </w:p>
        </w:tc>
      </w:tr>
    </w:tbl>
    <w:p w:rsidR="004F6623" w:rsidRDefault="004F6623" w:rsidP="004F6623">
      <w:pPr>
        <w:ind w:firstLine="0"/>
        <w:rPr>
          <w:sz w:val="24"/>
          <w:szCs w:val="24"/>
          <w:lang w:val="ro-RO"/>
        </w:rPr>
      </w:pPr>
    </w:p>
    <w:p w:rsidR="004F6623" w:rsidRPr="00891130" w:rsidRDefault="004F6623" w:rsidP="004F6623">
      <w:pPr>
        <w:rPr>
          <w:sz w:val="24"/>
          <w:szCs w:val="24"/>
          <w:lang w:val="ro-RO"/>
        </w:rPr>
      </w:pPr>
    </w:p>
    <w:p w:rsidR="004F6623" w:rsidRPr="00EC489D" w:rsidRDefault="004F6623" w:rsidP="004F6623">
      <w:pPr>
        <w:rPr>
          <w:b/>
          <w:sz w:val="24"/>
          <w:szCs w:val="24"/>
          <w:lang w:val="ro-RO"/>
        </w:rPr>
      </w:pPr>
      <w:r w:rsidRPr="00EC489D">
        <w:rPr>
          <w:b/>
          <w:sz w:val="24"/>
          <w:szCs w:val="24"/>
          <w:lang w:val="ro-RO"/>
        </w:rPr>
        <w:t xml:space="preserve">Secretar de stat                                                                      Eduard  SERBENCO </w:t>
      </w:r>
    </w:p>
    <w:p w:rsidR="004F6623" w:rsidRPr="00EC489D" w:rsidRDefault="004F6623" w:rsidP="004F6623">
      <w:pPr>
        <w:tabs>
          <w:tab w:val="left" w:pos="1170"/>
        </w:tabs>
        <w:rPr>
          <w:b/>
          <w:sz w:val="24"/>
          <w:szCs w:val="24"/>
          <w:lang w:val="ro-RO"/>
        </w:rPr>
      </w:pPr>
      <w:r w:rsidRPr="00EC489D">
        <w:rPr>
          <w:b/>
          <w:sz w:val="24"/>
          <w:szCs w:val="24"/>
          <w:lang w:val="ro-RO"/>
        </w:rPr>
        <w:tab/>
        <w:t xml:space="preserve"> </w:t>
      </w:r>
    </w:p>
    <w:p w:rsidR="004F6623" w:rsidRPr="00891130" w:rsidRDefault="004F6623" w:rsidP="004F6623">
      <w:pPr>
        <w:rPr>
          <w:sz w:val="24"/>
          <w:szCs w:val="24"/>
          <w:lang w:val="ro-RO"/>
        </w:rPr>
      </w:pPr>
    </w:p>
    <w:p w:rsidR="004F6623" w:rsidRPr="00891130" w:rsidRDefault="004F6623" w:rsidP="004F6623">
      <w:pPr>
        <w:rPr>
          <w:sz w:val="24"/>
          <w:szCs w:val="24"/>
          <w:lang w:val="ro-RO"/>
        </w:rPr>
      </w:pPr>
    </w:p>
    <w:p w:rsidR="004F6623" w:rsidRPr="00891130" w:rsidRDefault="004F6623" w:rsidP="004F6623">
      <w:pPr>
        <w:rPr>
          <w:sz w:val="24"/>
          <w:szCs w:val="24"/>
          <w:lang w:val="ro-RO"/>
        </w:rPr>
      </w:pPr>
    </w:p>
    <w:p w:rsidR="004F6623" w:rsidRPr="00891130" w:rsidRDefault="004F6623" w:rsidP="004F6623">
      <w:pPr>
        <w:rPr>
          <w:sz w:val="24"/>
          <w:szCs w:val="24"/>
          <w:lang w:val="ro-RO"/>
        </w:rPr>
      </w:pPr>
    </w:p>
    <w:p w:rsidR="004F6623" w:rsidRPr="00891130" w:rsidRDefault="004F6623" w:rsidP="004F6623">
      <w:pPr>
        <w:ind w:firstLine="0"/>
        <w:jc w:val="left"/>
        <w:rPr>
          <w:sz w:val="24"/>
          <w:szCs w:val="24"/>
          <w:lang w:val="ro-RO"/>
        </w:rPr>
      </w:pPr>
    </w:p>
    <w:p w:rsidR="004F6623" w:rsidRPr="00891130" w:rsidRDefault="004F6623" w:rsidP="004F6623">
      <w:pPr>
        <w:ind w:firstLine="0"/>
        <w:jc w:val="left"/>
        <w:rPr>
          <w:sz w:val="24"/>
          <w:szCs w:val="24"/>
          <w:lang w:val="ro-RO" w:eastAsia="ru-RU"/>
        </w:rPr>
      </w:pPr>
    </w:p>
    <w:p w:rsidR="004F6623" w:rsidRDefault="004F6623" w:rsidP="004F6623"/>
    <w:p w:rsidR="004F6623" w:rsidRDefault="004F6623" w:rsidP="004F6623"/>
    <w:p w:rsidR="004F6623" w:rsidRDefault="004F6623" w:rsidP="004F6623"/>
    <w:p w:rsidR="00305A7C" w:rsidRDefault="00305A7C"/>
    <w:sectPr w:rsidR="00305A7C" w:rsidSect="00F93763">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3B5ACF"/>
    <w:multiLevelType w:val="hybridMultilevel"/>
    <w:tmpl w:val="0BD4361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10F62A4C">
      <w:start w:val="1"/>
      <w:numFmt w:val="decimal"/>
      <w:suff w:val="space"/>
      <w:lvlText w:val="%4."/>
      <w:lvlJc w:val="left"/>
      <w:pPr>
        <w:ind w:left="2880" w:hanging="360"/>
      </w:pPr>
      <w:rPr>
        <w:rFonts w:cs="Times New Roman" w:hint="default"/>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
    <w:nsid w:val="7E805ACC"/>
    <w:multiLevelType w:val="hybridMultilevel"/>
    <w:tmpl w:val="B5E45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623"/>
    <w:rsid w:val="0002653E"/>
    <w:rsid w:val="00305A7C"/>
    <w:rsid w:val="003B6A41"/>
    <w:rsid w:val="004F6623"/>
    <w:rsid w:val="0073614D"/>
    <w:rsid w:val="007F6502"/>
    <w:rsid w:val="00812E22"/>
    <w:rsid w:val="008251FE"/>
    <w:rsid w:val="00886B46"/>
    <w:rsid w:val="008C09CD"/>
    <w:rsid w:val="00A3419A"/>
    <w:rsid w:val="00AA7747"/>
    <w:rsid w:val="00B06D18"/>
    <w:rsid w:val="00B2451D"/>
    <w:rsid w:val="00B80570"/>
    <w:rsid w:val="00E3681E"/>
    <w:rsid w:val="00E3739F"/>
    <w:rsid w:val="00E4718F"/>
    <w:rsid w:val="00E928EF"/>
    <w:rsid w:val="00E96FE5"/>
    <w:rsid w:val="00F93763"/>
    <w:rsid w:val="00FB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623"/>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623"/>
    <w:pPr>
      <w:spacing w:after="0" w:line="240" w:lineRule="auto"/>
      <w:ind w:firstLine="720"/>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stantin.cachi&#355;a@justice.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2608</Words>
  <Characters>14871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 CC. Cachita</dc:creator>
  <cp:lastModifiedBy>Constantin CC. Cachita</cp:lastModifiedBy>
  <cp:revision>25</cp:revision>
  <cp:lastPrinted>2022-06-08T14:07:00Z</cp:lastPrinted>
  <dcterms:created xsi:type="dcterms:W3CDTF">2022-05-19T07:21:00Z</dcterms:created>
  <dcterms:modified xsi:type="dcterms:W3CDTF">2022-06-08T14:08:00Z</dcterms:modified>
</cp:coreProperties>
</file>