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E71F" w14:textId="335B709E" w:rsidR="008B4BE6" w:rsidRPr="005535FB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NOTA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DE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FUNDAMENTARE</w:t>
      </w:r>
    </w:p>
    <w:p w14:paraId="168B4172" w14:textId="208A81D4" w:rsidR="006D4051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la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proiectul</w:t>
      </w:r>
      <w:r w:rsidR="00F509AF">
        <w:rPr>
          <w:b/>
          <w:sz w:val="24"/>
          <w:szCs w:val="24"/>
          <w:lang w:val="ro-RO"/>
        </w:rPr>
        <w:t xml:space="preserve"> Hotărârii Guvernului</w:t>
      </w:r>
      <w:r w:rsidR="00491749">
        <w:rPr>
          <w:b/>
          <w:sz w:val="24"/>
          <w:szCs w:val="24"/>
          <w:lang w:val="ro-RO"/>
        </w:rPr>
        <w:t xml:space="preserve"> </w:t>
      </w:r>
      <w:r w:rsidR="0070245E">
        <w:rPr>
          <w:b/>
          <w:sz w:val="24"/>
          <w:szCs w:val="24"/>
          <w:lang w:val="ro-RO"/>
        </w:rPr>
        <w:t>cu privire la</w:t>
      </w:r>
      <w:r w:rsidR="00491749">
        <w:rPr>
          <w:b/>
          <w:sz w:val="24"/>
          <w:szCs w:val="24"/>
          <w:lang w:val="ro-RO"/>
        </w:rPr>
        <w:t xml:space="preserve"> aprobarea Foii de parcurs</w:t>
      </w:r>
      <w:r w:rsidR="00404AFE">
        <w:rPr>
          <w:b/>
          <w:sz w:val="24"/>
          <w:szCs w:val="24"/>
          <w:lang w:val="ro-RO"/>
        </w:rPr>
        <w:t xml:space="preserve"> privind</w:t>
      </w:r>
      <w:r w:rsidR="00491749">
        <w:rPr>
          <w:b/>
          <w:sz w:val="24"/>
          <w:szCs w:val="24"/>
          <w:lang w:val="ro-RO"/>
        </w:rPr>
        <w:t xml:space="preserve"> </w:t>
      </w:r>
    </w:p>
    <w:p w14:paraId="20E9E2A5" w14:textId="5A4F4D38" w:rsidR="006D4051" w:rsidRDefault="00525B37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Funcționarea Instituțiilor Democratice</w:t>
      </w:r>
      <w:r w:rsidR="006D4051">
        <w:rPr>
          <w:b/>
          <w:sz w:val="24"/>
          <w:szCs w:val="24"/>
          <w:lang w:val="ro-RO"/>
        </w:rPr>
        <w:t xml:space="preserve"> </w:t>
      </w:r>
      <w:r w:rsidR="003120FA">
        <w:rPr>
          <w:b/>
          <w:bCs/>
          <w:sz w:val="24"/>
          <w:szCs w:val="24"/>
          <w:lang w:val="ro-RO"/>
        </w:rPr>
        <w:t>(</w:t>
      </w:r>
      <w:r w:rsidR="006D4051">
        <w:rPr>
          <w:b/>
          <w:bCs/>
          <w:sz w:val="24"/>
          <w:szCs w:val="24"/>
          <w:lang w:val="ro-RO"/>
        </w:rPr>
        <w:t xml:space="preserve">criteriu de referință în procesul de aderare </w:t>
      </w:r>
    </w:p>
    <w:p w14:paraId="7270453C" w14:textId="78E9D3A8" w:rsidR="008B4BE6" w:rsidRDefault="006D4051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 Republicii Moldova la Uniunea Europeană</w:t>
      </w:r>
      <w:r w:rsidR="003120FA">
        <w:rPr>
          <w:b/>
          <w:bCs/>
          <w:sz w:val="24"/>
          <w:szCs w:val="24"/>
          <w:lang w:val="ro-RO"/>
        </w:rPr>
        <w:t>)</w:t>
      </w:r>
    </w:p>
    <w:p w14:paraId="610974D5" w14:textId="77777777" w:rsidR="00657E78" w:rsidRPr="00657E78" w:rsidRDefault="00657E78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16"/>
          <w:szCs w:val="16"/>
          <w:lang w:val="ro-RO"/>
        </w:rPr>
      </w:pPr>
    </w:p>
    <w:p w14:paraId="581CF8BF" w14:textId="235A5AA4" w:rsidR="008B4BE6" w:rsidRPr="005535FB" w:rsidRDefault="008B4BE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6D3EB7" w:rsidRPr="005535FB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5535FB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6404" w14:textId="77777777" w:rsidR="00F14E2A" w:rsidRPr="00F14E2A" w:rsidRDefault="00F14E2A" w:rsidP="002900AF">
            <w:pPr>
              <w:ind w:firstLine="0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14:paraId="2818E0F8" w14:textId="1C8D2032" w:rsidR="008B4BE6" w:rsidRPr="00F509AF" w:rsidRDefault="002900AF" w:rsidP="002900AF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09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Hotărârii Guvernului </w:t>
            </w:r>
            <w:r w:rsidR="0070245E">
              <w:rPr>
                <w:rFonts w:ascii="Times New Roman" w:hAnsi="Times New Roman"/>
                <w:sz w:val="24"/>
                <w:szCs w:val="24"/>
                <w:lang w:val="ro-RO"/>
              </w:rPr>
              <w:t>cu privire la</w:t>
            </w:r>
            <w:r w:rsidRPr="00F509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aprobarea </w:t>
            </w:r>
            <w:r w:rsidRPr="00404AF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Foii de parcurs</w:t>
            </w:r>
            <w:r w:rsidR="00404AFE" w:rsidRPr="00404AF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privind</w:t>
            </w:r>
            <w:r w:rsidRPr="00F509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25B37" w:rsidRPr="00525B3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Funcționarea Instituțiilor Democratice</w:t>
            </w:r>
            <w:r w:rsidR="00404AF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3120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(</w:t>
            </w:r>
            <w:r w:rsidR="00404AF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criteriu de referință în procesul de aderare a Republicii Moldova la Uniunea Europeană</w:t>
            </w:r>
            <w:r w:rsidR="003120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)</w:t>
            </w:r>
            <w:r w:rsidRPr="00F509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fost elaborat de Ministerul Justiției în comun cu </w:t>
            </w:r>
            <w:r w:rsidR="00525B37">
              <w:rPr>
                <w:rFonts w:ascii="Times New Roman" w:hAnsi="Times New Roman"/>
                <w:sz w:val="24"/>
                <w:szCs w:val="24"/>
                <w:lang w:val="ro-RO"/>
              </w:rPr>
              <w:t>alte autorități vizate de proiect și</w:t>
            </w:r>
            <w:r w:rsidRPr="00F509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509AF" w:rsidRPr="00F509AF">
              <w:rPr>
                <w:rFonts w:ascii="Times New Roman" w:hAnsi="Times New Roman"/>
                <w:sz w:val="24"/>
                <w:szCs w:val="24"/>
                <w:lang w:val="ro-RO"/>
              </w:rPr>
              <w:t>în coordonare cu Biroul pentru Integrare Europeană</w:t>
            </w:r>
            <w:r w:rsidR="00E16E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16E7F">
              <w:rPr>
                <w:rFonts w:ascii="Times New Roman" w:hAnsi="Times New Roman"/>
                <w:sz w:val="24"/>
                <w:szCs w:val="24"/>
                <w:lang w:val="ro-MD"/>
              </w:rPr>
              <w:t>și Centrul de Armonizare a Legislației</w:t>
            </w:r>
            <w:r w:rsidRPr="00F509A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F509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7155182" w14:textId="32197DFA" w:rsidR="00F509AF" w:rsidRPr="00F509AF" w:rsidRDefault="00F509AF" w:rsidP="002900AF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5535FB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EF6E" w14:textId="77777777" w:rsidR="007258CF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509A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  <w:p w14:paraId="6CF02A6C" w14:textId="421495FE" w:rsidR="00491749" w:rsidRPr="00F509AF" w:rsidRDefault="00491749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52C6C" w:rsidRPr="005535FB" w14:paraId="30963134" w14:textId="77777777" w:rsidTr="00F509A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E596" w14:textId="626FDD9E" w:rsidR="00D62AED" w:rsidRPr="00F14BF1" w:rsidRDefault="00D62AED" w:rsidP="00F14BF1">
            <w:pPr>
              <w:spacing w:after="12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La 25 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iunie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 2024, la Luxemburg</w:t>
            </w:r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gram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avut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loc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prima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conferință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interguvernamentală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Republica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Moldova –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Uniunea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Europeană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semnificația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căreia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93FCA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="00D93FCA" w:rsidRPr="00F14BF1">
              <w:rPr>
                <w:rFonts w:ascii="Times New Roman" w:hAnsi="Times New Roman"/>
                <w:bCs/>
                <w:sz w:val="24"/>
                <w:szCs w:val="24"/>
              </w:rPr>
              <w:t>fost</w:t>
            </w:r>
            <w:proofErr w:type="spellEnd"/>
            <w:r w:rsidR="00D93FCA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deschi</w:t>
            </w:r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derea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formal</w:t>
            </w:r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proofErr w:type="spellEnd"/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negocierile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aderare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91749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Această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reuniune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gram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avut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loc ca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urmare</w:t>
            </w:r>
            <w:proofErr w:type="spellEnd"/>
            <w:r w:rsidR="00491749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deciziei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Consiliului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European </w:t>
            </w:r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(CE) </w:t>
            </w: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din 14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decembrie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2023 de a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deschide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negocieri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aderare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Republica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Moldova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aprobării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către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C</w:t>
            </w:r>
            <w:r w:rsidR="00366255" w:rsidRPr="00F14BF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, la 21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iunie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2024, a </w:t>
            </w:r>
            <w:proofErr w:type="spellStart"/>
            <w:r w:rsidR="000D7EA6" w:rsidRPr="00F14B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</w:t>
            </w:r>
            <w:r w:rsidRPr="00F14B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adrului</w:t>
            </w:r>
            <w:proofErr w:type="spellEnd"/>
            <w:r w:rsidRPr="00F14B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F14B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negociere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8342F" w:rsidRPr="00F14BF1">
              <w:rPr>
                <w:rFonts w:ascii="Times New Roman" w:hAnsi="Times New Roman"/>
                <w:bCs/>
                <w:sz w:val="24"/>
                <w:szCs w:val="24"/>
              </w:rPr>
              <w:t>aderarea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Republic</w:t>
            </w:r>
            <w:r w:rsidR="0018342F" w:rsidRPr="00F14BF1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proofErr w:type="spellEnd"/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Moldova</w:t>
            </w:r>
            <w:r w:rsidR="0018342F" w:rsidRPr="00F14BF1">
              <w:rPr>
                <w:rFonts w:ascii="Times New Roman" w:hAnsi="Times New Roman"/>
                <w:bCs/>
                <w:sz w:val="24"/>
                <w:szCs w:val="24"/>
              </w:rPr>
              <w:t xml:space="preserve"> la UE</w:t>
            </w:r>
            <w:r w:rsidRPr="00F14B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5E27C28" w14:textId="07DA7671" w:rsidR="00491749" w:rsidRPr="00F14BF1" w:rsidRDefault="00F509AF" w:rsidP="00F14BF1">
            <w:pPr>
              <w:spacing w:after="120"/>
              <w:ind w:firstLine="0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contextul </w:t>
            </w:r>
            <w:r w:rsidR="000D7EA6"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adrului de negociere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  </w:t>
            </w:r>
            <w:r w:rsidR="00E14C8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drept criteriu de referință al procesului de aderare a 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>Republi</w:t>
            </w:r>
            <w:r w:rsidR="00E14C8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cii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Moldova</w:t>
            </w:r>
            <w:r w:rsidR="00E14C8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stabilit că aceasta 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urmează să pregătească foaia de parcurs </w:t>
            </w:r>
            <w:r w:rsidR="00E14C8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25B37" w:rsidRPr="00F14BF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Funcționarea Instituțiilor Democratice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include </w:t>
            </w:r>
            <w:r w:rsidR="00525B37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trei </w:t>
            </w:r>
            <w:r w:rsidR="00525B37"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blocuri tematice: (1) proces electoral, (2) funcționarea Parlamentului într-o societate democratică și (3) rolul societății civile</w:t>
            </w:r>
            <w:r w:rsidR="00491749"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1F83B758" w14:textId="781E234D" w:rsidR="00D3758A" w:rsidRPr="00F14BF1" w:rsidRDefault="007060E3" w:rsidP="00F14BF1">
            <w:pPr>
              <w:spacing w:after="120"/>
              <w:ind w:firstLine="0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>Potrivit Cadrului de negociere</w:t>
            </w:r>
            <w:r w:rsidR="00D3758A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D3758A" w:rsidRPr="00F14BF1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="00D3758A" w:rsidRPr="00F14BF1">
              <w:rPr>
                <w:rFonts w:ascii="Times New Roman" w:hAnsi="Times New Roman"/>
                <w:sz w:val="24"/>
                <w:szCs w:val="24"/>
              </w:rPr>
              <w:t xml:space="preserve"> de UE </w:t>
            </w:r>
            <w:proofErr w:type="spellStart"/>
            <w:r w:rsidR="00D3758A" w:rsidRPr="00F14BF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D3758A" w:rsidRPr="00F14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758A" w:rsidRPr="00F14BF1">
              <w:rPr>
                <w:rFonts w:ascii="Times New Roman" w:hAnsi="Times New Roman"/>
                <w:sz w:val="24"/>
                <w:szCs w:val="24"/>
              </w:rPr>
              <w:t>Republica</w:t>
            </w:r>
            <w:proofErr w:type="spellEnd"/>
            <w:r w:rsidR="00D3758A" w:rsidRPr="00F14BF1">
              <w:rPr>
                <w:rFonts w:ascii="Times New Roman" w:hAnsi="Times New Roman"/>
                <w:sz w:val="24"/>
                <w:szCs w:val="24"/>
              </w:rPr>
              <w:t xml:space="preserve"> Moldova</w:t>
            </w:r>
            <w:r w:rsidR="00D3758A" w:rsidRPr="00F14BF1">
              <w:rPr>
                <w:rStyle w:val="ad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3758A" w:rsidRPr="00F14BF1">
              <w:rPr>
                <w:rStyle w:val="ad"/>
                <w:rFonts w:ascii="Times New Roman" w:hAnsi="Times New Roman"/>
                <w:sz w:val="24"/>
                <w:szCs w:val="24"/>
                <w:lang w:val="ro-RO"/>
              </w:rPr>
              <w:footnoteReference w:id="1"/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„Foaia de parcurs </w:t>
            </w:r>
            <w:r w:rsidR="00D3758A"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va stabili angajamentele generale ale țării pentru reforme în domeniile respective, cu un calendar clar și etapele-cheie avute în vedere. Punerea în aplicare a acestei foi de parcurs va fi monitorizată constant și abordată cu regularitate în cadrul conferințelor interguvernamentale pe parcursul întregului proces</w:t>
            </w:r>
            <w:r w:rsidR="00D93FCA"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(de aderare)</w:t>
            </w:r>
            <w:r w:rsidR="00D3758A" w:rsidRPr="00F14B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”.</w:t>
            </w:r>
          </w:p>
          <w:p w14:paraId="1F1D7FFC" w14:textId="0FF44070" w:rsidR="00ED5D84" w:rsidRPr="00F14BF1" w:rsidRDefault="00366255" w:rsidP="00F14BF1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structura instituțională a statelor, UE se concentrează pe funcționarea instituțiilor politice, </w:t>
            </w:r>
            <w:r w:rsidR="00D93FCA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>echilibrul puterilor între principalele organe în stat</w:t>
            </w:r>
            <w:r w:rsidR="00942B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checks</w:t>
            </w:r>
            <w:proofErr w:type="spellEnd"/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and</w:t>
            </w:r>
            <w:proofErr w:type="spellEnd"/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balances</w:t>
            </w:r>
            <w:proofErr w:type="spellEnd"/>
            <w:r w:rsidR="00942BA8" w:rsidRPr="00F14BF1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>, responsabilitățile acestora</w:t>
            </w:r>
            <w:r w:rsidR="00942B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cooperarea</w:t>
            </w:r>
            <w:r w:rsidR="00D93FCA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între ele</w:t>
            </w:r>
            <w:r w:rsidRPr="00F14BF1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Aderarea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la UE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presupune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un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exercițiu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substantial de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intervenții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ajustări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cadrului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legislativ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instituţional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ţărilor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candidat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astfel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încât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asigure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că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acestea</w:t>
            </w:r>
            <w:proofErr w:type="spellEnd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pot </w:t>
            </w:r>
            <w:proofErr w:type="spellStart"/>
            <w:r w:rsidR="00F14BF1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garanta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aplicarea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principiilor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fundamentale</w:t>
            </w:r>
            <w:proofErr w:type="spellEnd"/>
            <w:r w:rsidR="00D93FCA" w:rsidRPr="00F14B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AFA0871" w14:textId="77777777" w:rsidR="0089424D" w:rsidRDefault="00366255" w:rsidP="0089424D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Guvernanța democratică este fundamentul sistemului de valori și standarde al </w:t>
            </w:r>
            <w:r w:rsidR="00D93FCA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UE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D93FCA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Republica Moldova, în calitate de stat candidat, trebuie să se asigure că are un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 de guvernare în care instituțiile funcționează în conformitate cu procesele și normele democratice, atât </w:t>
            </w:r>
            <w:r w:rsidR="0081699B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în interior</w:t>
            </w:r>
            <w:r w:rsidR="00F14B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ul acestora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cât și în interacțiunea </w:t>
            </w:r>
            <w:r w:rsidR="0081699B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între ele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2DCD533" w14:textId="5E4E0DF8" w:rsidR="00366255" w:rsidRPr="0089424D" w:rsidRDefault="00F14BF1" w:rsidP="0089424D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De asemenea, g</w:t>
            </w:r>
            <w:r w:rsidR="00366255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uvernanța democratică </w:t>
            </w:r>
            <w:r w:rsidR="0081699B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presupune respectarea</w:t>
            </w:r>
            <w:r w:rsidR="00366255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pluralismul</w:t>
            </w:r>
            <w:r w:rsidR="0081699B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366255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politic, o societate civilă activă, stat de drept și alegeri democratice</w:t>
            </w:r>
            <w:r w:rsidR="0081699B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un dialog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instituţionalizat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democratic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între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toți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actorii</w:t>
            </w:r>
            <w:proofErr w:type="spellEnd"/>
            <w:r w:rsid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nivel</w:t>
            </w:r>
            <w:proofErr w:type="spellEnd"/>
            <w:r w:rsid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național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Este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necesar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 se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asigura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un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cadru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viabil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dialog politic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dintre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majoritate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opoziţie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operarea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instrumente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adecvate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formare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consensului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un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mecanism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monitorizare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implementării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deciziilor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agreate</w:t>
            </w:r>
            <w:proofErr w:type="spellEnd"/>
            <w:r w:rsidR="0081699B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Toate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aceste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standard</w:t>
            </w:r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sunt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reglementate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într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-un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șir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acte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UE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obligatorii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Republica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Moldova a fi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transpuse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dar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recomandările</w:t>
            </w:r>
            <w:proofErr w:type="spellEnd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standardele</w:t>
            </w:r>
            <w:proofErr w:type="spellEnd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avizele</w:t>
            </w:r>
            <w:proofErr w:type="spellEnd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r w:rsidR="00552151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nstituţii</w:t>
            </w:r>
            <w:r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lor</w:t>
            </w:r>
            <w:proofErr w:type="spellEnd"/>
            <w:r w:rsidR="00552151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mecanismelor</w:t>
            </w:r>
            <w:proofErr w:type="spellEnd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specializate</w:t>
            </w:r>
            <w:proofErr w:type="spellEnd"/>
            <w:r w:rsidR="00552151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(OSCE/ODIHR</w:t>
            </w:r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GRECO, Comisia de la </w:t>
            </w:r>
            <w:proofErr w:type="spellStart"/>
            <w:r w:rsidR="00E53807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Veneția</w:t>
            </w:r>
            <w:proofErr w:type="spellEnd"/>
            <w:r w:rsidR="00552151" w:rsidRPr="00894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 </w:t>
            </w:r>
          </w:p>
          <w:p w14:paraId="6574E218" w14:textId="4B245727" w:rsidR="00176EF1" w:rsidRPr="0089424D" w:rsidRDefault="0089424D" w:rsidP="0089424D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Existența unor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instituții democratice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semnificativ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atât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procedur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derare 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la UE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atunci când rolul acestora este crucial în îndeplinirea cerințelor de aderare, 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precum și ulterior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E53807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când 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capacitatea acestora trebuie să garanteze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legitimit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atea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proces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176EF1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statului membru UE, să susțină valorile UE.</w:t>
            </w:r>
          </w:p>
          <w:p w14:paraId="02083FA4" w14:textId="6FE52D2F" w:rsidR="00AD1551" w:rsidRPr="0089424D" w:rsidRDefault="00AD1551" w:rsidP="0089424D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Instituțiile democratice joacă, de asemenea, un rol esențial în asigurarea faptului că procesul de asociere este transparent și permite participarea 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>incluzivă a societății civile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. Procesul implică adesea consultări, audieri publice și mecanisme de feedback care permit exprim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>area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opiniil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>or în raport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reformele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>/măsurile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propuse. Acest lucru este esențial pentru a garanta că procesul de asociere nu este doar o procedură tehnică, ci și una care reflectă voința 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>societății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4DDFE7D" w14:textId="4C4D74F2" w:rsidR="00491749" w:rsidRPr="0089424D" w:rsidRDefault="007060E3" w:rsidP="0089424D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foii de parcurs </w:t>
            </w:r>
            <w:r w:rsid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89424D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Funcționarea Instituțiilor Democratice</w:t>
            </w:r>
            <w:r w:rsidR="0089424D" w:rsidRPr="00F14B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stabilește prioritățile strategice și ordinea măsurilor de reformă necesare. </w:t>
            </w:r>
            <w:r w:rsidR="00091234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="00491749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biectivel</w:t>
            </w:r>
            <w:r w:rsidR="00E14C88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491749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măsuril</w:t>
            </w:r>
            <w:r w:rsidR="00E14C88" w:rsidRPr="0089424D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491749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incluse în acest document derivă din </w:t>
            </w:r>
            <w:r w:rsidR="00091234" w:rsidRPr="00894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angajamentul Republicii Moldova de aliniere a cadrului normativ la </w:t>
            </w:r>
            <w:r w:rsidR="00091234" w:rsidRPr="0089424D">
              <w:rPr>
                <w:rFonts w:ascii="Times New Roman" w:hAnsi="Times New Roman"/>
                <w:sz w:val="24"/>
                <w:szCs w:val="24"/>
              </w:rPr>
              <w:t>acquis-</w:t>
            </w:r>
            <w:proofErr w:type="spellStart"/>
            <w:r w:rsidR="00091234" w:rsidRPr="0089424D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="00091234" w:rsidRPr="0089424D">
              <w:rPr>
                <w:rFonts w:ascii="Times New Roman" w:hAnsi="Times New Roman"/>
                <w:sz w:val="24"/>
                <w:szCs w:val="24"/>
              </w:rPr>
              <w:t xml:space="preserve"> UE, precum </w:t>
            </w:r>
            <w:proofErr w:type="spellStart"/>
            <w:r w:rsidR="00091234" w:rsidRPr="0089424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necesitățile</w:t>
            </w:r>
            <w:proofErr w:type="spellEnd"/>
            <w:r w:rsidR="00091234" w:rsidRPr="008942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091234" w:rsidRPr="0089424D">
              <w:rPr>
                <w:rFonts w:ascii="Times New Roman" w:hAnsi="Times New Roman"/>
                <w:sz w:val="24"/>
                <w:szCs w:val="24"/>
              </w:rPr>
              <w:t>fortificare</w:t>
            </w:r>
            <w:proofErr w:type="spellEnd"/>
            <w:r w:rsidR="00091234" w:rsidRPr="0089424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091234" w:rsidRPr="0089424D">
              <w:rPr>
                <w:rFonts w:ascii="Times New Roman" w:hAnsi="Times New Roman"/>
                <w:sz w:val="24"/>
                <w:szCs w:val="24"/>
              </w:rPr>
              <w:t>capacităților</w:t>
            </w:r>
            <w:proofErr w:type="spellEnd"/>
            <w:r w:rsidR="00091234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1234" w:rsidRPr="0089424D">
              <w:rPr>
                <w:rFonts w:ascii="Times New Roman" w:hAnsi="Times New Roman"/>
                <w:sz w:val="24"/>
                <w:szCs w:val="24"/>
              </w:rPr>
              <w:t>instituționale</w:t>
            </w:r>
            <w:proofErr w:type="spellEnd"/>
            <w:r w:rsidR="00091234" w:rsidRPr="0089424D">
              <w:rPr>
                <w:rFonts w:ascii="Times New Roman" w:hAnsi="Times New Roman"/>
                <w:sz w:val="24"/>
                <w:szCs w:val="24"/>
              </w:rPr>
              <w:t>.</w:t>
            </w:r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424D">
              <w:rPr>
                <w:rFonts w:ascii="Times New Roman" w:hAnsi="Times New Roman"/>
                <w:sz w:val="24"/>
                <w:szCs w:val="24"/>
              </w:rPr>
              <w:t>Î</w:t>
            </w:r>
            <w:r w:rsidR="00657E78" w:rsidRPr="0089424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măsură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stabilit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calendarul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implementare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precum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autoritățile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7E78" w:rsidRPr="0089424D">
              <w:rPr>
                <w:rFonts w:ascii="Times New Roman" w:hAnsi="Times New Roman"/>
                <w:sz w:val="24"/>
                <w:szCs w:val="24"/>
              </w:rPr>
              <w:t>responsabile</w:t>
            </w:r>
            <w:proofErr w:type="spellEnd"/>
            <w:r w:rsidR="00657E78" w:rsidRPr="008942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F8A9C7" w14:textId="223A31B3" w:rsidR="00452C6C" w:rsidRPr="00F509AF" w:rsidRDefault="00452C6C" w:rsidP="001A4222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5535FB" w14:paraId="595D390F" w14:textId="77777777" w:rsidTr="001A4222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3.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091234" w:rsidRPr="005535FB" w14:paraId="0E50BABC" w14:textId="77777777" w:rsidTr="0009123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8D4A" w14:textId="430D8444" w:rsidR="00ED5D84" w:rsidRPr="00B16F07" w:rsidRDefault="00ED5D84" w:rsidP="00D93FCA">
            <w:pPr>
              <w:spacing w:before="120" w:after="120"/>
              <w:ind w:firstLine="360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B16F0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Foaia de parcurs privind Funcționarea Instituțiilor Democratice cuprinde trei blocuri tematice care </w:t>
            </w:r>
            <w:r w:rsidR="00AD1551" w:rsidRPr="00B16F0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reprezintă c</w:t>
            </w:r>
            <w:r w:rsidRPr="00B16F0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adrul general pentru democrație</w:t>
            </w:r>
            <w:r w:rsidR="00AD1551" w:rsidRPr="00B16F0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:</w:t>
            </w:r>
          </w:p>
          <w:p w14:paraId="3B3C2620" w14:textId="77777777" w:rsidR="00ED5D84" w:rsidRPr="00C1438A" w:rsidRDefault="00ED5D84" w:rsidP="00D93FCA">
            <w:pPr>
              <w:pStyle w:val="afb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Procesul electoral</w:t>
            </w: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</w:p>
          <w:p w14:paraId="0D8F7617" w14:textId="77777777" w:rsidR="00ED5D84" w:rsidRPr="00C1438A" w:rsidRDefault="00ED5D84" w:rsidP="00D93FCA">
            <w:pPr>
              <w:pStyle w:val="afb"/>
              <w:numPr>
                <w:ilvl w:val="1"/>
                <w:numId w:val="45"/>
              </w:numPr>
              <w:spacing w:before="120" w:after="120"/>
              <w:contextualSpacing w:val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Alegeri libere și corecte</w:t>
            </w:r>
          </w:p>
          <w:p w14:paraId="53B20960" w14:textId="77777777" w:rsidR="00ED5D84" w:rsidRPr="00C1438A" w:rsidRDefault="00ED5D84" w:rsidP="00D93FCA">
            <w:pPr>
              <w:pStyle w:val="afb"/>
              <w:numPr>
                <w:ilvl w:val="1"/>
                <w:numId w:val="45"/>
              </w:numPr>
              <w:spacing w:before="120" w:after="120"/>
              <w:contextualSpacing w:val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Mass-media în campania electorală</w:t>
            </w:r>
          </w:p>
          <w:p w14:paraId="701E8A7A" w14:textId="77777777" w:rsidR="00ED5D84" w:rsidRPr="00C1438A" w:rsidRDefault="00ED5D84" w:rsidP="00D93FCA">
            <w:pPr>
              <w:pStyle w:val="afb"/>
              <w:numPr>
                <w:ilvl w:val="1"/>
                <w:numId w:val="45"/>
              </w:numPr>
              <w:spacing w:before="120" w:after="120"/>
              <w:contextualSpacing w:val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Finanțarea partidelor politice și a campaniilor electorale</w:t>
            </w:r>
          </w:p>
          <w:p w14:paraId="5EB36C05" w14:textId="77777777" w:rsidR="00ED5D84" w:rsidRPr="00C1438A" w:rsidRDefault="00ED5D84" w:rsidP="00D93FCA">
            <w:pPr>
              <w:pStyle w:val="afb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Funcționarea Parlamentului într-o societate democratică</w:t>
            </w:r>
          </w:p>
          <w:p w14:paraId="2443E5D8" w14:textId="77777777" w:rsidR="00ED5D84" w:rsidRPr="00C1438A" w:rsidRDefault="00ED5D84" w:rsidP="00D93FCA">
            <w:pPr>
              <w:pStyle w:val="afb"/>
              <w:numPr>
                <w:ilvl w:val="1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Transparență și responsabilitate</w:t>
            </w:r>
          </w:p>
          <w:p w14:paraId="5BD543C4" w14:textId="77777777" w:rsidR="00ED5D84" w:rsidRPr="00C1438A" w:rsidRDefault="00ED5D84" w:rsidP="00D93FCA">
            <w:pPr>
              <w:pStyle w:val="afb"/>
              <w:numPr>
                <w:ilvl w:val="1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Integritate</w:t>
            </w:r>
          </w:p>
          <w:p w14:paraId="1F95AE2A" w14:textId="77777777" w:rsidR="00ED5D84" w:rsidRPr="00C1438A" w:rsidRDefault="00ED5D84" w:rsidP="00D93FCA">
            <w:pPr>
              <w:pStyle w:val="afb"/>
              <w:numPr>
                <w:ilvl w:val="1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Eficacitate</w:t>
            </w:r>
          </w:p>
          <w:p w14:paraId="4C4753AE" w14:textId="77777777" w:rsidR="00ED5D84" w:rsidRPr="00C1438A" w:rsidRDefault="00ED5D84" w:rsidP="00D93FCA">
            <w:pPr>
              <w:pStyle w:val="afb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Rolul societății civile</w:t>
            </w:r>
          </w:p>
          <w:p w14:paraId="67620C8E" w14:textId="77777777" w:rsidR="00ED5D84" w:rsidRPr="00C1438A" w:rsidRDefault="00ED5D84" w:rsidP="00D93FCA">
            <w:pPr>
              <w:pStyle w:val="afb"/>
              <w:numPr>
                <w:ilvl w:val="1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sz w:val="24"/>
                <w:szCs w:val="24"/>
                <w:lang w:val="ro-MD"/>
              </w:rPr>
              <w:t>Cadrul general al societății civile</w:t>
            </w:r>
          </w:p>
          <w:p w14:paraId="37889554" w14:textId="77777777" w:rsidR="00ED5D84" w:rsidRPr="00C1438A" w:rsidRDefault="00ED5D84" w:rsidP="00D93FCA">
            <w:pPr>
              <w:pStyle w:val="afb"/>
              <w:numPr>
                <w:ilvl w:val="1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Cadrul legal, operațional și de politici pentru societatea civilă</w:t>
            </w:r>
          </w:p>
          <w:p w14:paraId="0DD58705" w14:textId="3A550073" w:rsidR="00ED5D84" w:rsidRPr="00C1438A" w:rsidRDefault="00ED5D84" w:rsidP="00D93FCA">
            <w:pPr>
              <w:pStyle w:val="afb"/>
              <w:numPr>
                <w:ilvl w:val="1"/>
                <w:numId w:val="46"/>
              </w:numPr>
              <w:spacing w:before="120" w:after="12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1438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Contextul </w:t>
            </w:r>
            <w:r w:rsidR="00AD1551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unui</w:t>
            </w:r>
            <w:r w:rsidRPr="00C1438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mediu favorabil </w:t>
            </w:r>
            <w:r w:rsidR="00AD1551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pentru societatea civilă</w:t>
            </w:r>
          </w:p>
          <w:p w14:paraId="37CD3206" w14:textId="77777777" w:rsidR="00E14C88" w:rsidRPr="00ED5D84" w:rsidRDefault="00E14C88" w:rsidP="00D93FCA">
            <w:pPr>
              <w:pStyle w:val="afb"/>
              <w:ind w:right="-1"/>
              <w:rPr>
                <w:rFonts w:ascii="Times New Roman" w:hAnsi="Times New Roman"/>
                <w:lang w:val="ro-MD"/>
              </w:rPr>
            </w:pPr>
          </w:p>
          <w:p w14:paraId="01C310BD" w14:textId="4DEA7258" w:rsidR="00657E78" w:rsidRDefault="00657E78" w:rsidP="00D93FCA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Anume pe aceste 3 dimensiuni este structurată și foaia de parcurs. </w:t>
            </w:r>
          </w:p>
          <w:p w14:paraId="0D90C938" w14:textId="2D9E798B" w:rsidR="00B16F07" w:rsidRDefault="00B16F07" w:rsidP="00D93FCA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blocul tematic proces </w:t>
            </w:r>
            <w:r w:rsidRPr="00B16F0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electoral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57E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stabilite </w:t>
            </w:r>
            <w:r w:rsidR="0055570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6</w:t>
            </w:r>
            <w:r w:rsidR="001A4222" w:rsidRPr="001A4222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obiective strategice</w:t>
            </w:r>
            <w:r w:rsidR="001A422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Măsurile propuse spre realizare au scopul de a atinge următoarele rezultate:</w:t>
            </w:r>
            <w:r w:rsidR="001A422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mbunătățirea capacităților funcționale ale CEC-ului, 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eliminarea factorului </w:t>
            </w:r>
            <w:proofErr w:type="spellStart"/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corupțional</w:t>
            </w:r>
            <w:proofErr w:type="spellEnd"/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exercițiul electoral, combaterea finanțării ilegale și sporirea transparenței campaniilor electorale, c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>onsolidarea capacităților organelor de aplicare a legii responsabile cu investigarea și examinarea cazurilor de finanțare politică ilegală și corupție politică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asigurarea 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>incluziun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accesibilit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ății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>procesul de votare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onsolidarea rezilienței societății prin punerea în aplicare a </w:t>
            </w:r>
            <w:r w:rsidR="00555708">
              <w:rPr>
                <w:rFonts w:ascii="Times New Roman" w:hAnsi="Times New Roman"/>
                <w:sz w:val="24"/>
                <w:szCs w:val="24"/>
                <w:lang w:val="ro-RO"/>
              </w:rPr>
              <w:t>măsurilor</w:t>
            </w:r>
            <w:r w:rsidR="00555708"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comunicare pentru a contracara dezinformarea și interferența influenței și manipulării străine.</w:t>
            </w:r>
          </w:p>
          <w:p w14:paraId="413C1651" w14:textId="585024BC" w:rsidR="00555708" w:rsidRDefault="00555708" w:rsidP="00D93FCA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blocul tematic care vizează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funcționarea Parlamentului</w:t>
            </w:r>
            <w:r w:rsidR="001A4222" w:rsidRPr="001A4222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A422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stabilite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3</w:t>
            </w:r>
            <w:r w:rsidR="001A4222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A4222" w:rsidRPr="001A4222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obiective strategice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includ măsuri </w:t>
            </w:r>
            <w:r w:rsidR="005A7AFC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creșter</w:t>
            </w:r>
            <w:r w:rsidR="005A7AFC">
              <w:rPr>
                <w:rFonts w:ascii="Times New Roman" w:hAnsi="Times New Roman"/>
                <w:sz w:val="24"/>
                <w:szCs w:val="24"/>
                <w:lang w:val="ro-RO"/>
              </w:rPr>
              <w:t>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>ficacit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ății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Parlamentului prin proceduri îmbunătăți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>i capacități dezvolta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7F6FF9">
              <w:rPr>
                <w:rFonts w:ascii="Times New Roman" w:hAnsi="Times New Roman"/>
                <w:sz w:val="24"/>
                <w:szCs w:val="24"/>
                <w:lang w:val="ro-RO"/>
              </w:rPr>
              <w:t>sporirea t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>ransparenț</w:t>
            </w:r>
            <w:r w:rsidR="007F6FF9">
              <w:rPr>
                <w:rFonts w:ascii="Times New Roman" w:hAnsi="Times New Roman"/>
                <w:sz w:val="24"/>
                <w:szCs w:val="24"/>
                <w:lang w:val="ro-RO"/>
              </w:rPr>
              <w:t>ei în activitatea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parlamentară și consolida</w:t>
            </w:r>
            <w:r w:rsidR="007F6FF9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555708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7F6FF9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mecanismel</w:t>
            </w:r>
            <w:r w:rsidR="007F6FF9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integritate în raport cu deputații.</w:t>
            </w:r>
          </w:p>
          <w:p w14:paraId="3745B8E7" w14:textId="1B819130" w:rsidR="007F6FF9" w:rsidRDefault="007F6FF9" w:rsidP="00D93FCA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Cele </w:t>
            </w:r>
            <w:r w:rsidR="00120DCC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7F6FF9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obiective strategice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b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>locul tematic dedicat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societății civile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conțin acțiuni menite să sporească transparența proceselor decizionale la nivelul autorităților publice și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totodată,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gradul de implicare a societății civile în aceste procese, să asigure cadrul legal și o p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>rotecți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sporită 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apărători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drepturilor omului și a persoanelor care se implică în 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>procesele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>e dar și un mediu operațional mai flexibil pentru organizațiile necomerciale</w:t>
            </w:r>
            <w:r w:rsidRPr="007F6FF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97BBE38" w14:textId="59322DCF" w:rsidR="00E14C88" w:rsidRPr="00E22F2E" w:rsidRDefault="00E14C88" w:rsidP="00D93FCA">
            <w:pPr>
              <w:spacing w:after="120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22F2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Uniunea Europeană este construită pe un set de 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principii și </w:t>
            </w:r>
            <w:r w:rsidRPr="00E22F2E">
              <w:rPr>
                <w:rFonts w:ascii="Times New Roman" w:hAnsi="Times New Roman"/>
                <w:sz w:val="24"/>
                <w:szCs w:val="24"/>
                <w:lang w:val="ro-RO"/>
              </w:rPr>
              <w:t>valori fundamentale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iar </w:t>
            </w:r>
            <w:r w:rsidRPr="00E22F2E">
              <w:rPr>
                <w:rFonts w:ascii="Times New Roman" w:hAnsi="Times New Roman"/>
                <w:sz w:val="24"/>
                <w:szCs w:val="24"/>
                <w:lang w:val="ro-RO"/>
              </w:rPr>
              <w:t>Republic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E22F2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Moldova </w:t>
            </w:r>
            <w:r w:rsidR="00D93F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trebuie să se asigure că prin măsurile setate în foaia de parcurs va asigura transpunerea la nivel național a acestora. </w:t>
            </w:r>
          </w:p>
          <w:p w14:paraId="52EAA1DF" w14:textId="7C3C5EB8" w:rsidR="00091234" w:rsidRPr="005535FB" w:rsidRDefault="00091234" w:rsidP="00D93FCA">
            <w:pPr>
              <w:rPr>
                <w:sz w:val="24"/>
                <w:szCs w:val="24"/>
                <w:lang w:val="ro-RO"/>
              </w:rPr>
            </w:pPr>
          </w:p>
        </w:tc>
      </w:tr>
      <w:tr w:rsidR="006D3EB7" w:rsidRPr="005535FB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4.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reglementare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70A7B0B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8464" w14:textId="31E2505E" w:rsidR="00491727" w:rsidRPr="00491727" w:rsidRDefault="00491727" w:rsidP="00491727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ru-MD"/>
              </w:rPr>
            </w:pPr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Analiza </w:t>
            </w:r>
            <w:proofErr w:type="spellStart"/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>impactului</w:t>
            </w:r>
            <w:proofErr w:type="spellEnd"/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>reglementare</w:t>
            </w:r>
            <w:proofErr w:type="spellEnd"/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nu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este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necesară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întrucît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  <w:r w:rsidRPr="00B16F0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Foaia de parcurs privind Funcționarea Instituțiilor Democratice este un </w:t>
            </w:r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document de </w:t>
            </w:r>
            <w:proofErr w:type="spellStart"/>
            <w:r w:rsidRPr="00491727">
              <w:rPr>
                <w:rFonts w:ascii="Times New Roman" w:hAnsi="Times New Roman"/>
                <w:sz w:val="24"/>
                <w:szCs w:val="24"/>
                <w:lang w:eastAsia="ru-MD"/>
              </w:rPr>
              <w:t>planificare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="00023EF2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potrivit</w:t>
            </w:r>
            <w:proofErr w:type="spellEnd"/>
            <w:r w:rsidR="00023EF2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23EF2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prevederilor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art. 27¹ din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Legea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nr. 100/2017 cu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privire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la </w:t>
            </w:r>
            <w:proofErr w:type="spellStart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actele</w:t>
            </w:r>
            <w:proofErr w:type="spellEnd"/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normative, </w:t>
            </w:r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nu se </w:t>
            </w:r>
            <w:proofErr w:type="spellStart"/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impun</w:t>
            </w:r>
            <w:proofErr w:type="spellEnd"/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activități</w:t>
            </w:r>
            <w:proofErr w:type="spellEnd"/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documentare</w:t>
            </w:r>
            <w:proofErr w:type="spellEnd"/>
            <w:r w:rsidR="0024103E"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>.</w:t>
            </w:r>
            <w:r w:rsidRPr="00B16F07">
              <w:rPr>
                <w:rFonts w:ascii="Times New Roman" w:hAnsi="Times New Roman"/>
                <w:sz w:val="24"/>
                <w:szCs w:val="24"/>
                <w:lang w:eastAsia="ru-MD"/>
              </w:rPr>
              <w:t xml:space="preserve"> </w:t>
            </w:r>
          </w:p>
          <w:p w14:paraId="13FD1F55" w14:textId="47A8A84F" w:rsidR="008B4BE6" w:rsidRPr="00491727" w:rsidRDefault="008B4BE6" w:rsidP="00F37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EB7" w:rsidRPr="005535FB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5535FB" w:rsidRDefault="006933C3" w:rsidP="007C53A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Compatibilitatea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legisla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531AA3A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0393" w14:textId="7BCA045B" w:rsidR="00F33A4D" w:rsidRDefault="00AD1551" w:rsidP="006D4051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3EF2">
              <w:rPr>
                <w:rFonts w:ascii="Times New Roman" w:hAnsi="Times New Roman"/>
                <w:sz w:val="24"/>
                <w:szCs w:val="24"/>
                <w:lang w:val="ro-RO"/>
              </w:rPr>
              <w:t>Foaia de parcurs privind Funcționarea Instituțiilor Democratice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91234">
              <w:rPr>
                <w:rFonts w:ascii="Times New Roman" w:hAnsi="Times New Roman"/>
                <w:sz w:val="24"/>
                <w:szCs w:val="24"/>
                <w:lang w:val="ro-RO"/>
              </w:rPr>
              <w:t>este un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document</w:t>
            </w:r>
            <w:r w:rsidR="0009123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operațional și nu unul normativ care </w:t>
            </w:r>
            <w:r w:rsidR="00552151" w:rsidRPr="00552151">
              <w:rPr>
                <w:rFonts w:ascii="Times New Roman" w:hAnsi="Times New Roman"/>
                <w:sz w:val="24"/>
                <w:szCs w:val="24"/>
                <w:lang w:val="ro-RO"/>
              </w:rPr>
              <w:t>prezintă pașii necesar</w:t>
            </w:r>
            <w:r w:rsidR="00EE27D8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fi realiza</w:t>
            </w:r>
            <w:r w:rsidR="00EE27D8">
              <w:rPr>
                <w:rFonts w:ascii="Times New Roman" w:hAnsi="Times New Roman"/>
                <w:sz w:val="24"/>
                <w:szCs w:val="24"/>
                <w:lang w:val="ro-MD"/>
              </w:rPr>
              <w:t>ți</w:t>
            </w:r>
            <w:r w:rsid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23EF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parcursul </w:t>
            </w:r>
            <w:r w:rsidR="00023EF2">
              <w:rPr>
                <w:rFonts w:ascii="Times New Roman" w:hAnsi="Times New Roman"/>
                <w:sz w:val="24"/>
                <w:szCs w:val="24"/>
                <w:lang w:val="ro-MD"/>
              </w:rPr>
              <w:t>procesului de aderare la</w:t>
            </w:r>
            <w:r w:rsid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Uniunea Europeană. Aceasta va constitui reperul </w:t>
            </w:r>
            <w:r w:rsidR="00F33A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(ghidul) </w:t>
            </w:r>
            <w:r w:rsid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dialogului RM-UE în contextul Clusterului 1 și asumarea </w:t>
            </w:r>
            <w:r w:rsid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strategică </w:t>
            </w:r>
            <w:r w:rsidR="00F33A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raport cu politicile care trebuie întreprinse pentru alinierea la </w:t>
            </w:r>
            <w:r w:rsidR="00552151" w:rsidRP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standardele politice și juridice ale Uniunii Europene. </w:t>
            </w:r>
            <w:r w:rsidR="00F33A4D">
              <w:rPr>
                <w:rFonts w:ascii="Times New Roman" w:hAnsi="Times New Roman"/>
                <w:sz w:val="24"/>
                <w:szCs w:val="24"/>
                <w:lang w:val="ro-RO"/>
              </w:rPr>
              <w:t>Foaia</w:t>
            </w:r>
            <w:r w:rsidR="00552151" w:rsidRP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parcurs </w:t>
            </w:r>
            <w:r w:rsidR="00F33A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reflectă </w:t>
            </w:r>
            <w:r w:rsidR="00552151" w:rsidRPr="00552151">
              <w:rPr>
                <w:rFonts w:ascii="Times New Roman" w:hAnsi="Times New Roman"/>
                <w:sz w:val="24"/>
                <w:szCs w:val="24"/>
                <w:lang w:val="ro-RO"/>
              </w:rPr>
              <w:t>eforturil</w:t>
            </w:r>
            <w:r w:rsidR="00F33A4D">
              <w:rPr>
                <w:rFonts w:ascii="Times New Roman" w:hAnsi="Times New Roman"/>
                <w:sz w:val="24"/>
                <w:szCs w:val="24"/>
                <w:lang w:val="ro-RO"/>
              </w:rPr>
              <w:t>e care trebuie depuse în aspirația RM de a</w:t>
            </w:r>
            <w:r w:rsidR="00552151" w:rsidRPr="005521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deveni membru cu drepturi depline al UE.</w:t>
            </w:r>
            <w:r w:rsidR="00F33A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34E1D7F" w14:textId="77777777" w:rsidR="004979C5" w:rsidRDefault="004979C5" w:rsidP="006D4051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D50F20" w14:textId="124C2276" w:rsidR="00EE27D8" w:rsidRPr="004979C5" w:rsidRDefault="00EE27D8" w:rsidP="006D4051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>Componentele foi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parcurs includ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acțiuni ce au scopul de 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>ajustare legislativ</w:t>
            </w:r>
            <w:r w:rsidR="00B16F07">
              <w:rPr>
                <w:rFonts w:ascii="Times New Roman" w:hAnsi="Times New Roman"/>
                <w:sz w:val="24"/>
                <w:szCs w:val="24"/>
                <w:lang w:val="ro-MD"/>
              </w:rPr>
              <w:t>ă și consolidare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instituțional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promovare </w:t>
            </w:r>
            <w:r w:rsidR="00023EF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politici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>fiind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>prioritiz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>ate</w:t>
            </w:r>
            <w:proofErr w:type="spellEnd"/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timp 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acțiunile pentru a 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>monitoriza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progresel</w:t>
            </w:r>
            <w:r w:rsidR="00B16F07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Este un document viu care 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 fi 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actualizat pe măsură ce negocierile cu UE 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vor 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progresa și 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vor 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>ap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>ea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noi provocări sau priorități. </w:t>
            </w:r>
            <w:r w:rsidR="004979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Implementarea măsurilor conținute în 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>Foaia de parcurs este esențială</w:t>
            </w:r>
            <w:r w:rsidR="00023EF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din perspectiva c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>onsolid</w:t>
            </w:r>
            <w:r w:rsidR="00023EF2">
              <w:rPr>
                <w:rFonts w:ascii="Times New Roman" w:hAnsi="Times New Roman"/>
                <w:sz w:val="24"/>
                <w:szCs w:val="24"/>
                <w:lang w:val="ro-RO"/>
              </w:rPr>
              <w:t>ării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relațiil</w:t>
            </w:r>
            <w:r w:rsidR="00023EF2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EE27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UE.</w:t>
            </w:r>
          </w:p>
          <w:p w14:paraId="1DBF688D" w14:textId="16CE8B46" w:rsidR="008B4BE6" w:rsidRPr="005535FB" w:rsidRDefault="008B4BE6" w:rsidP="006D4051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5535FB" w14:paraId="338B34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consultarea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publică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E687F2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9F1A" w14:textId="773A3DFE" w:rsidR="008B4BE6" w:rsidRPr="00E16E7F" w:rsidRDefault="00032B46" w:rsidP="00E14C88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DD86509" w14:textId="77777777" w:rsidR="00E16E7F" w:rsidRPr="00E16E7F" w:rsidRDefault="00E16E7F" w:rsidP="00E16E7F">
            <w:pPr>
              <w:spacing w:after="120"/>
              <w:ind w:firstLine="313"/>
              <w:rPr>
                <w:color w:val="0D0D0D"/>
                <w:sz w:val="24"/>
                <w:szCs w:val="24"/>
                <w:lang w:val="ro-RO"/>
              </w:rPr>
            </w:pPr>
            <w:r w:rsidRPr="00E16E7F">
              <w:rPr>
                <w:color w:val="0D0D0D"/>
                <w:sz w:val="24"/>
                <w:szCs w:val="24"/>
                <w:lang w:val="ro-RO"/>
              </w:rPr>
              <w:t>Potrivit pct.39 din Cadrul de negociere, foaia de parcurs urmează a fi adoptată după un proces transparent de consultare cu toți actorii relevanți, inclusiv cu societatea civilă.</w:t>
            </w:r>
          </w:p>
          <w:p w14:paraId="631D6308" w14:textId="77777777" w:rsidR="00E16E7F" w:rsidRPr="00E16E7F" w:rsidRDefault="00E16E7F" w:rsidP="00E16E7F">
            <w:pPr>
              <w:spacing w:after="120"/>
              <w:ind w:firstLine="31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6E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vederea respectării principiului transparenței </w:t>
            </w:r>
            <w:r w:rsidRPr="00E16E7F">
              <w:rPr>
                <w:rFonts w:ascii="Times New Roman" w:hAnsi="Times New Roman"/>
                <w:sz w:val="24"/>
                <w:szCs w:val="24"/>
                <w:lang w:val="ro-MD"/>
              </w:rPr>
              <w:t>în procesul decizional</w:t>
            </w:r>
            <w:r w:rsidRPr="00E16E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sensul Legii nr. 239/2008, anunțul de inițierii a elaborării proiectul Foii de parcurs a fost plasat </w:t>
            </w:r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pe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pagina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web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oficială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Ministerului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Justiției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la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rubrica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Transparență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decizională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Registrul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proiectelor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acte</w:t>
            </w:r>
            <w:proofErr w:type="spellEnd"/>
            <w:r w:rsidRPr="00E16E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normative </w:t>
            </w:r>
            <w:r w:rsidRPr="00E16E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(</w:t>
            </w:r>
            <w:hyperlink r:id="rId11" w:history="1">
              <w:r w:rsidRPr="00E16E7F">
                <w:rPr>
                  <w:rStyle w:val="aff3"/>
                  <w:rFonts w:ascii="Times New Roman" w:hAnsi="Times New Roman"/>
                  <w:sz w:val="24"/>
                  <w:szCs w:val="24"/>
                  <w:lang w:val="ro-RO"/>
                </w:rPr>
                <w:t>https://justice.gov.md/ro/registru</w:t>
              </w:r>
            </w:hyperlink>
            <w:r w:rsidRPr="00E16E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). </w:t>
            </w:r>
          </w:p>
          <w:p w14:paraId="247DD7CA" w14:textId="60391CC7" w:rsidR="00E16E7F" w:rsidRPr="00E16E7F" w:rsidRDefault="00E16E7F" w:rsidP="00E16E7F">
            <w:pPr>
              <w:spacing w:after="120"/>
              <w:ind w:firstLine="313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E16E7F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De asemenea, în data de 21.09.2024 Ministerul Justiției a organizata o ședința de lucru cu membrii grupului de lucru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și reprezentanții societății civile</w:t>
            </w:r>
            <w:r w:rsidRPr="00E16E7F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în cadrul căreia au fost comunicate mai multe aspecte privind </w:t>
            </w:r>
            <w:r w:rsidRPr="00E16E7F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val="ro-RO"/>
              </w:rPr>
              <w:t>procesul de elaborare a</w:t>
            </w:r>
            <w:r w:rsidRPr="00E16E7F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 </w:t>
            </w:r>
            <w:r w:rsidRPr="00E16E7F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val="ro-RO"/>
              </w:rPr>
              <w:t>foii de parcurs.</w:t>
            </w:r>
          </w:p>
          <w:p w14:paraId="7E6045F3" w14:textId="24723E07" w:rsidR="00491727" w:rsidRPr="005535FB" w:rsidRDefault="00491727" w:rsidP="00E14C88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5535FB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54B22AC5" w:rsidR="008B4BE6" w:rsidRPr="005535FB" w:rsidRDefault="00E16E7F" w:rsidP="00F37ED4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</w:t>
            </w:r>
            <w:r w:rsidR="0036135C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necesare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pentru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implementarea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prevederilor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 w14:textId="2222EA97" w:rsidR="008B4BE6" w:rsidRPr="00583677" w:rsidRDefault="00032B46" w:rsidP="00F37ED4">
            <w:pPr>
              <w:rPr>
                <w:rFonts w:ascii="Times New Roman" w:hAnsi="Times New Roman"/>
                <w:sz w:val="24"/>
                <w:szCs w:val="24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83677" w:rsidRPr="0058367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În scopul asigurării unei monitorizări eficiente a modului de implementare a Foii de parcurs, Biroul pentru Integrare Europeană, în termen de 2 luni de la data intrării în vigoare a prezentei hotărâri, va elabora mecanismul de monitorizare a implementării Foii de parcurs privind </w:t>
            </w:r>
            <w:r w:rsidR="0058367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Funcționarea Instituțiilor Democratice</w:t>
            </w:r>
            <w:r w:rsidR="00583677" w:rsidRPr="0058367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care va fi aprobat de către Guvern.</w:t>
            </w:r>
            <w:r w:rsidR="00583677" w:rsidRPr="00583677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 </w:t>
            </w:r>
            <w:r w:rsidR="00583677" w:rsidRPr="0058367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</w:t>
            </w:r>
            <w:r w:rsidR="00023EF2" w:rsidRPr="005836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6C5979B8" w14:textId="6B00F2B3" w:rsidR="008B4BE6" w:rsidRPr="00583677" w:rsidRDefault="008B4BE6" w:rsidP="00553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</w:rPr>
      </w:pPr>
    </w:p>
    <w:sectPr w:rsidR="008B4BE6" w:rsidRPr="00583677" w:rsidSect="00AC71AC">
      <w:headerReference w:type="default" r:id="rId12"/>
      <w:headerReference w:type="first" r:id="rId13"/>
      <w:pgSz w:w="11907" w:h="16840"/>
      <w:pgMar w:top="709" w:right="567" w:bottom="85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8CE5" w14:textId="77777777" w:rsidR="004E1731" w:rsidRDefault="004E1731">
      <w:r>
        <w:separator/>
      </w:r>
    </w:p>
  </w:endnote>
  <w:endnote w:type="continuationSeparator" w:id="0">
    <w:p w14:paraId="67754C28" w14:textId="77777777" w:rsidR="004E1731" w:rsidRDefault="004E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7DDC" w14:textId="77777777" w:rsidR="004E1731" w:rsidRDefault="004E1731">
      <w:r>
        <w:separator/>
      </w:r>
    </w:p>
  </w:footnote>
  <w:footnote w:type="continuationSeparator" w:id="0">
    <w:p w14:paraId="7AFC25E0" w14:textId="77777777" w:rsidR="004E1731" w:rsidRDefault="004E1731">
      <w:r>
        <w:continuationSeparator/>
      </w:r>
    </w:p>
  </w:footnote>
  <w:footnote w:id="1">
    <w:p w14:paraId="2D02448A" w14:textId="78D1A428" w:rsidR="00D3758A" w:rsidRDefault="00D3758A" w:rsidP="00F14BF1">
      <w:pPr>
        <w:pStyle w:val="ab"/>
        <w:ind w:firstLine="142"/>
      </w:pPr>
      <w:r>
        <w:rPr>
          <w:rStyle w:val="ad"/>
        </w:rPr>
        <w:footnoteRef/>
      </w:r>
      <w:r>
        <w:t xml:space="preserve"> </w:t>
      </w:r>
      <w:proofErr w:type="spellStart"/>
      <w:r>
        <w:t>Cadrul</w:t>
      </w:r>
      <w:proofErr w:type="spellEnd"/>
      <w:r>
        <w:t xml:space="preserve"> de </w:t>
      </w:r>
      <w:proofErr w:type="spellStart"/>
      <w:r>
        <w:t>negociere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de UE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Moldova, </w:t>
      </w:r>
      <w:proofErr w:type="spellStart"/>
      <w:r>
        <w:t>disponibil</w:t>
      </w:r>
      <w:proofErr w:type="spellEnd"/>
      <w:r>
        <w:t xml:space="preserve"> la </w:t>
      </w:r>
      <w:proofErr w:type="spellStart"/>
      <w:r>
        <w:t>urm</w:t>
      </w:r>
      <w:r>
        <w:rPr>
          <w:lang w:val="ro-MD"/>
        </w:rPr>
        <w:t>ătorul</w:t>
      </w:r>
      <w:proofErr w:type="spellEnd"/>
      <w:r>
        <w:rPr>
          <w:lang w:val="ro-MD"/>
        </w:rPr>
        <w:t xml:space="preserve"> link: </w:t>
      </w:r>
      <w:hyperlink r:id="rId1" w:history="1">
        <w:r w:rsidRPr="0024645D">
          <w:rPr>
            <w:rStyle w:val="aff3"/>
          </w:rPr>
          <w:t>https://gov.md/sites/default/files/negotiating_framework.pdf</w:t>
        </w:r>
      </w:hyperlink>
    </w:p>
    <w:p w14:paraId="0D8CDDCB" w14:textId="77777777" w:rsidR="00D3758A" w:rsidRDefault="00D3758A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8427" w14:textId="5ED4AFB3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71F5F"/>
    <w:multiLevelType w:val="multilevel"/>
    <w:tmpl w:val="9110A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B2F29"/>
    <w:multiLevelType w:val="multilevel"/>
    <w:tmpl w:val="EB526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65194C49"/>
    <w:multiLevelType w:val="hybridMultilevel"/>
    <w:tmpl w:val="EA36D6E8"/>
    <w:lvl w:ilvl="0" w:tplc="7D78FEB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1757315">
    <w:abstractNumId w:val="34"/>
  </w:num>
  <w:num w:numId="2" w16cid:durableId="1323851714">
    <w:abstractNumId w:val="36"/>
  </w:num>
  <w:num w:numId="3" w16cid:durableId="594750452">
    <w:abstractNumId w:val="16"/>
  </w:num>
  <w:num w:numId="4" w16cid:durableId="1526989174">
    <w:abstractNumId w:val="29"/>
  </w:num>
  <w:num w:numId="5" w16cid:durableId="925456384">
    <w:abstractNumId w:val="18"/>
  </w:num>
  <w:num w:numId="6" w16cid:durableId="663360110">
    <w:abstractNumId w:val="12"/>
  </w:num>
  <w:num w:numId="7" w16cid:durableId="1853182272">
    <w:abstractNumId w:val="5"/>
  </w:num>
  <w:num w:numId="8" w16cid:durableId="1993874537">
    <w:abstractNumId w:val="6"/>
  </w:num>
  <w:num w:numId="9" w16cid:durableId="1640304103">
    <w:abstractNumId w:val="26"/>
  </w:num>
  <w:num w:numId="10" w16cid:durableId="1302880857">
    <w:abstractNumId w:val="3"/>
  </w:num>
  <w:num w:numId="11" w16cid:durableId="1470592266">
    <w:abstractNumId w:val="25"/>
  </w:num>
  <w:num w:numId="12" w16cid:durableId="457839630">
    <w:abstractNumId w:val="2"/>
  </w:num>
  <w:num w:numId="13" w16cid:durableId="1020930612">
    <w:abstractNumId w:val="39"/>
  </w:num>
  <w:num w:numId="14" w16cid:durableId="1878009290">
    <w:abstractNumId w:val="19"/>
  </w:num>
  <w:num w:numId="15" w16cid:durableId="2117209104">
    <w:abstractNumId w:val="20"/>
  </w:num>
  <w:num w:numId="16" w16cid:durableId="1952779917">
    <w:abstractNumId w:val="33"/>
  </w:num>
  <w:num w:numId="17" w16cid:durableId="1408574950">
    <w:abstractNumId w:val="30"/>
  </w:num>
  <w:num w:numId="18" w16cid:durableId="1968923309">
    <w:abstractNumId w:val="24"/>
  </w:num>
  <w:num w:numId="19" w16cid:durableId="1667633368">
    <w:abstractNumId w:val="21"/>
  </w:num>
  <w:num w:numId="20" w16cid:durableId="8794587">
    <w:abstractNumId w:val="8"/>
  </w:num>
  <w:num w:numId="21" w16cid:durableId="2065106446">
    <w:abstractNumId w:val="32"/>
  </w:num>
  <w:num w:numId="22" w16cid:durableId="1469712425">
    <w:abstractNumId w:val="4"/>
  </w:num>
  <w:num w:numId="23" w16cid:durableId="297998034">
    <w:abstractNumId w:val="14"/>
  </w:num>
  <w:num w:numId="24" w16cid:durableId="1812210843">
    <w:abstractNumId w:val="10"/>
  </w:num>
  <w:num w:numId="25" w16cid:durableId="904296324">
    <w:abstractNumId w:val="22"/>
  </w:num>
  <w:num w:numId="26" w16cid:durableId="1167862662">
    <w:abstractNumId w:val="35"/>
  </w:num>
  <w:num w:numId="27" w16cid:durableId="909340302">
    <w:abstractNumId w:val="27"/>
  </w:num>
  <w:num w:numId="28" w16cid:durableId="1701055366">
    <w:abstractNumId w:val="41"/>
    <w:lvlOverride w:ilvl="0">
      <w:startOverride w:val="1"/>
    </w:lvlOverride>
  </w:num>
  <w:num w:numId="29" w16cid:durableId="1770079760">
    <w:abstractNumId w:val="23"/>
  </w:num>
  <w:num w:numId="30" w16cid:durableId="47340274">
    <w:abstractNumId w:val="7"/>
  </w:num>
  <w:num w:numId="31" w16cid:durableId="1170103769">
    <w:abstractNumId w:val="40"/>
  </w:num>
  <w:num w:numId="32" w16cid:durableId="1871456820">
    <w:abstractNumId w:val="41"/>
  </w:num>
  <w:num w:numId="33" w16cid:durableId="1356421649">
    <w:abstractNumId w:val="13"/>
  </w:num>
  <w:num w:numId="34" w16cid:durableId="1922399981">
    <w:abstractNumId w:val="43"/>
  </w:num>
  <w:num w:numId="35" w16cid:durableId="979916733">
    <w:abstractNumId w:val="42"/>
  </w:num>
  <w:num w:numId="36" w16cid:durableId="297344932">
    <w:abstractNumId w:val="0"/>
  </w:num>
  <w:num w:numId="37" w16cid:durableId="852719779">
    <w:abstractNumId w:val="9"/>
  </w:num>
  <w:num w:numId="38" w16cid:durableId="791940004">
    <w:abstractNumId w:val="31"/>
  </w:num>
  <w:num w:numId="39" w16cid:durableId="2068449498">
    <w:abstractNumId w:val="17"/>
  </w:num>
  <w:num w:numId="40" w16cid:durableId="1771198625">
    <w:abstractNumId w:val="37"/>
  </w:num>
  <w:num w:numId="41" w16cid:durableId="1472093176">
    <w:abstractNumId w:val="28"/>
  </w:num>
  <w:num w:numId="42" w16cid:durableId="1429962546">
    <w:abstractNumId w:val="1"/>
  </w:num>
  <w:num w:numId="43" w16cid:durableId="2093620381">
    <w:abstractNumId w:val="44"/>
  </w:num>
  <w:num w:numId="44" w16cid:durableId="826484220">
    <w:abstractNumId w:val="38"/>
  </w:num>
  <w:num w:numId="45" w16cid:durableId="979992432">
    <w:abstractNumId w:val="11"/>
  </w:num>
  <w:num w:numId="46" w16cid:durableId="925698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20F1B"/>
    <w:rsid w:val="00023EF2"/>
    <w:rsid w:val="0002435C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91234"/>
    <w:rsid w:val="000A6BA5"/>
    <w:rsid w:val="000B3D87"/>
    <w:rsid w:val="000B50EE"/>
    <w:rsid w:val="000C041B"/>
    <w:rsid w:val="000C2AB4"/>
    <w:rsid w:val="000D5C74"/>
    <w:rsid w:val="000D7EA6"/>
    <w:rsid w:val="000E1D40"/>
    <w:rsid w:val="000E2800"/>
    <w:rsid w:val="000F497A"/>
    <w:rsid w:val="00102AD8"/>
    <w:rsid w:val="00113956"/>
    <w:rsid w:val="00113BC4"/>
    <w:rsid w:val="00116035"/>
    <w:rsid w:val="00120DCC"/>
    <w:rsid w:val="001211EA"/>
    <w:rsid w:val="00143389"/>
    <w:rsid w:val="00143CC4"/>
    <w:rsid w:val="0015146D"/>
    <w:rsid w:val="00157D40"/>
    <w:rsid w:val="00162BE7"/>
    <w:rsid w:val="0017006C"/>
    <w:rsid w:val="00174E20"/>
    <w:rsid w:val="00176EF1"/>
    <w:rsid w:val="0018342F"/>
    <w:rsid w:val="00184334"/>
    <w:rsid w:val="00185AC8"/>
    <w:rsid w:val="00191428"/>
    <w:rsid w:val="001A25C3"/>
    <w:rsid w:val="001A37C7"/>
    <w:rsid w:val="001A4222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67FC"/>
    <w:rsid w:val="002170A5"/>
    <w:rsid w:val="00230761"/>
    <w:rsid w:val="00236E65"/>
    <w:rsid w:val="002372B8"/>
    <w:rsid w:val="00240AC0"/>
    <w:rsid w:val="0024103E"/>
    <w:rsid w:val="002453BD"/>
    <w:rsid w:val="00257353"/>
    <w:rsid w:val="002721D2"/>
    <w:rsid w:val="0027425A"/>
    <w:rsid w:val="0028093A"/>
    <w:rsid w:val="00281C80"/>
    <w:rsid w:val="002900AF"/>
    <w:rsid w:val="002950E0"/>
    <w:rsid w:val="002954C4"/>
    <w:rsid w:val="002B07BD"/>
    <w:rsid w:val="002B5444"/>
    <w:rsid w:val="002B547F"/>
    <w:rsid w:val="002C21E9"/>
    <w:rsid w:val="002D38C5"/>
    <w:rsid w:val="002D4F13"/>
    <w:rsid w:val="002E4217"/>
    <w:rsid w:val="002E505B"/>
    <w:rsid w:val="002F30F7"/>
    <w:rsid w:val="002F3DAA"/>
    <w:rsid w:val="002F5F1E"/>
    <w:rsid w:val="002F7FB5"/>
    <w:rsid w:val="00301D7D"/>
    <w:rsid w:val="003120FA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6255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4AFE"/>
    <w:rsid w:val="00405019"/>
    <w:rsid w:val="00406BA9"/>
    <w:rsid w:val="00410C9A"/>
    <w:rsid w:val="00421AB5"/>
    <w:rsid w:val="00424212"/>
    <w:rsid w:val="00424CF9"/>
    <w:rsid w:val="0043208D"/>
    <w:rsid w:val="004333B4"/>
    <w:rsid w:val="00434203"/>
    <w:rsid w:val="0044202F"/>
    <w:rsid w:val="00452C3E"/>
    <w:rsid w:val="00452C6C"/>
    <w:rsid w:val="0045451B"/>
    <w:rsid w:val="00464294"/>
    <w:rsid w:val="004735CE"/>
    <w:rsid w:val="00474658"/>
    <w:rsid w:val="0047797E"/>
    <w:rsid w:val="00491727"/>
    <w:rsid w:val="00491749"/>
    <w:rsid w:val="004979C5"/>
    <w:rsid w:val="00497F06"/>
    <w:rsid w:val="004A3757"/>
    <w:rsid w:val="004B1283"/>
    <w:rsid w:val="004B6D01"/>
    <w:rsid w:val="004C6034"/>
    <w:rsid w:val="004D3941"/>
    <w:rsid w:val="004E1731"/>
    <w:rsid w:val="004E2421"/>
    <w:rsid w:val="004E6489"/>
    <w:rsid w:val="004E6662"/>
    <w:rsid w:val="004F568A"/>
    <w:rsid w:val="005020EC"/>
    <w:rsid w:val="00516555"/>
    <w:rsid w:val="005256CF"/>
    <w:rsid w:val="00525B37"/>
    <w:rsid w:val="00542C43"/>
    <w:rsid w:val="00551299"/>
    <w:rsid w:val="00552151"/>
    <w:rsid w:val="005535FB"/>
    <w:rsid w:val="00555708"/>
    <w:rsid w:val="00555DF5"/>
    <w:rsid w:val="00572006"/>
    <w:rsid w:val="00573E74"/>
    <w:rsid w:val="0057790F"/>
    <w:rsid w:val="00582470"/>
    <w:rsid w:val="00583677"/>
    <w:rsid w:val="00594DE5"/>
    <w:rsid w:val="005A12D7"/>
    <w:rsid w:val="005A29D6"/>
    <w:rsid w:val="005A7AFC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559E3"/>
    <w:rsid w:val="00657577"/>
    <w:rsid w:val="00657E78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4051"/>
    <w:rsid w:val="006D7B49"/>
    <w:rsid w:val="006E0A2E"/>
    <w:rsid w:val="006E1269"/>
    <w:rsid w:val="006E7D38"/>
    <w:rsid w:val="006F0870"/>
    <w:rsid w:val="006F43CA"/>
    <w:rsid w:val="006F7EF4"/>
    <w:rsid w:val="0070245E"/>
    <w:rsid w:val="007026DD"/>
    <w:rsid w:val="00702770"/>
    <w:rsid w:val="00703FCE"/>
    <w:rsid w:val="007060E3"/>
    <w:rsid w:val="00707B68"/>
    <w:rsid w:val="007126C4"/>
    <w:rsid w:val="007258CF"/>
    <w:rsid w:val="00737731"/>
    <w:rsid w:val="00740210"/>
    <w:rsid w:val="007411D5"/>
    <w:rsid w:val="00756648"/>
    <w:rsid w:val="007724CE"/>
    <w:rsid w:val="00780C21"/>
    <w:rsid w:val="0079167D"/>
    <w:rsid w:val="007A0931"/>
    <w:rsid w:val="007A4309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374"/>
    <w:rsid w:val="007F6FF9"/>
    <w:rsid w:val="00800EE1"/>
    <w:rsid w:val="0080612C"/>
    <w:rsid w:val="00811CAE"/>
    <w:rsid w:val="0081699B"/>
    <w:rsid w:val="00825DC9"/>
    <w:rsid w:val="00831DF3"/>
    <w:rsid w:val="008326E7"/>
    <w:rsid w:val="0084241F"/>
    <w:rsid w:val="0084434E"/>
    <w:rsid w:val="008506B1"/>
    <w:rsid w:val="008510CC"/>
    <w:rsid w:val="00860C47"/>
    <w:rsid w:val="00861491"/>
    <w:rsid w:val="00863417"/>
    <w:rsid w:val="0086343C"/>
    <w:rsid w:val="00863D76"/>
    <w:rsid w:val="0086509B"/>
    <w:rsid w:val="00865B42"/>
    <w:rsid w:val="0087296A"/>
    <w:rsid w:val="00876262"/>
    <w:rsid w:val="00891049"/>
    <w:rsid w:val="0089424D"/>
    <w:rsid w:val="00897403"/>
    <w:rsid w:val="008A40C0"/>
    <w:rsid w:val="008A5923"/>
    <w:rsid w:val="008B1120"/>
    <w:rsid w:val="008B1AA1"/>
    <w:rsid w:val="008B1BFF"/>
    <w:rsid w:val="008B4BE6"/>
    <w:rsid w:val="008C2DD5"/>
    <w:rsid w:val="008C5C63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27CD1"/>
    <w:rsid w:val="00930424"/>
    <w:rsid w:val="009424F7"/>
    <w:rsid w:val="00942BA8"/>
    <w:rsid w:val="00942BCB"/>
    <w:rsid w:val="00942F03"/>
    <w:rsid w:val="00953155"/>
    <w:rsid w:val="00961B81"/>
    <w:rsid w:val="00962ED5"/>
    <w:rsid w:val="00971561"/>
    <w:rsid w:val="009761DA"/>
    <w:rsid w:val="009858FE"/>
    <w:rsid w:val="009860EA"/>
    <w:rsid w:val="00990719"/>
    <w:rsid w:val="0099315C"/>
    <w:rsid w:val="009C02E5"/>
    <w:rsid w:val="009C0E0E"/>
    <w:rsid w:val="009C26E3"/>
    <w:rsid w:val="009C6DD1"/>
    <w:rsid w:val="009C7CD6"/>
    <w:rsid w:val="009D2789"/>
    <w:rsid w:val="009D4C0F"/>
    <w:rsid w:val="009D7C44"/>
    <w:rsid w:val="009E7B86"/>
    <w:rsid w:val="009F366D"/>
    <w:rsid w:val="009F45EC"/>
    <w:rsid w:val="00A06362"/>
    <w:rsid w:val="00A11251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B37"/>
    <w:rsid w:val="00A53F34"/>
    <w:rsid w:val="00A540EB"/>
    <w:rsid w:val="00A5539A"/>
    <w:rsid w:val="00A60B97"/>
    <w:rsid w:val="00A71E51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C71AC"/>
    <w:rsid w:val="00AD1551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16F07"/>
    <w:rsid w:val="00B24403"/>
    <w:rsid w:val="00B25206"/>
    <w:rsid w:val="00B32239"/>
    <w:rsid w:val="00B42DDB"/>
    <w:rsid w:val="00B472D0"/>
    <w:rsid w:val="00B6145A"/>
    <w:rsid w:val="00B61570"/>
    <w:rsid w:val="00B6585E"/>
    <w:rsid w:val="00B72578"/>
    <w:rsid w:val="00B744FB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758A"/>
    <w:rsid w:val="00D3779C"/>
    <w:rsid w:val="00D37DCA"/>
    <w:rsid w:val="00D54373"/>
    <w:rsid w:val="00D62225"/>
    <w:rsid w:val="00D62AED"/>
    <w:rsid w:val="00D65D20"/>
    <w:rsid w:val="00D745DA"/>
    <w:rsid w:val="00D77DA5"/>
    <w:rsid w:val="00D84420"/>
    <w:rsid w:val="00D85438"/>
    <w:rsid w:val="00D8732D"/>
    <w:rsid w:val="00D927DB"/>
    <w:rsid w:val="00D93FCA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14C88"/>
    <w:rsid w:val="00E16E7F"/>
    <w:rsid w:val="00E22660"/>
    <w:rsid w:val="00E232E0"/>
    <w:rsid w:val="00E23A5B"/>
    <w:rsid w:val="00E3030C"/>
    <w:rsid w:val="00E32EAF"/>
    <w:rsid w:val="00E34BF8"/>
    <w:rsid w:val="00E44F7F"/>
    <w:rsid w:val="00E50CC8"/>
    <w:rsid w:val="00E51FE8"/>
    <w:rsid w:val="00E5244F"/>
    <w:rsid w:val="00E53807"/>
    <w:rsid w:val="00E55E57"/>
    <w:rsid w:val="00E56249"/>
    <w:rsid w:val="00E67ACE"/>
    <w:rsid w:val="00E67BA7"/>
    <w:rsid w:val="00E757FD"/>
    <w:rsid w:val="00E84140"/>
    <w:rsid w:val="00E93D69"/>
    <w:rsid w:val="00E94FA8"/>
    <w:rsid w:val="00EB4FD7"/>
    <w:rsid w:val="00EC564B"/>
    <w:rsid w:val="00EC6F58"/>
    <w:rsid w:val="00ED4634"/>
    <w:rsid w:val="00ED5D84"/>
    <w:rsid w:val="00ED7CB3"/>
    <w:rsid w:val="00EE1123"/>
    <w:rsid w:val="00EE1706"/>
    <w:rsid w:val="00EE27D8"/>
    <w:rsid w:val="00EE3A4F"/>
    <w:rsid w:val="00EF0C91"/>
    <w:rsid w:val="00EF2660"/>
    <w:rsid w:val="00EF26A2"/>
    <w:rsid w:val="00EF61BF"/>
    <w:rsid w:val="00F06892"/>
    <w:rsid w:val="00F14BF1"/>
    <w:rsid w:val="00F14E2A"/>
    <w:rsid w:val="00F1668A"/>
    <w:rsid w:val="00F269DE"/>
    <w:rsid w:val="00F26A4B"/>
    <w:rsid w:val="00F31636"/>
    <w:rsid w:val="00F33A4D"/>
    <w:rsid w:val="00F376E3"/>
    <w:rsid w:val="00F37ED4"/>
    <w:rsid w:val="00F40A46"/>
    <w:rsid w:val="00F41D12"/>
    <w:rsid w:val="00F45235"/>
    <w:rsid w:val="00F509AF"/>
    <w:rsid w:val="00F50B3C"/>
    <w:rsid w:val="00F5592A"/>
    <w:rsid w:val="00F57E9D"/>
    <w:rsid w:val="00F66E1A"/>
    <w:rsid w:val="00F71EBB"/>
    <w:rsid w:val="00F728DA"/>
    <w:rsid w:val="00F8554D"/>
    <w:rsid w:val="00FB4E60"/>
    <w:rsid w:val="00FC0692"/>
    <w:rsid w:val="00FC4ACC"/>
    <w:rsid w:val="00FD0892"/>
    <w:rsid w:val="00FD6782"/>
    <w:rsid w:val="00FE7DC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E3"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aff6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ustice.gov.md/ro/regist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v.md/sites/default/files/negotiating_framework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1497</Words>
  <Characters>8537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Stela  Braniște</cp:lastModifiedBy>
  <cp:revision>13</cp:revision>
  <cp:lastPrinted>2024-03-11T11:21:00Z</cp:lastPrinted>
  <dcterms:created xsi:type="dcterms:W3CDTF">2024-12-11T14:28:00Z</dcterms:created>
  <dcterms:modified xsi:type="dcterms:W3CDTF">2024-12-20T17:52:00Z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